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D51AB8" w:rsidRDefault="004C2B63" w:rsidP="005A4F39">
      <w:pPr>
        <w:pStyle w:val="Header"/>
        <w:tabs>
          <w:tab w:val="right" w:pos="9072"/>
        </w:tabs>
        <w:rPr>
          <w:rFonts w:ascii="Arial" w:hAnsi="Arial" w:cs="Arial"/>
          <w:sz w:val="24"/>
          <w:szCs w:val="28"/>
          <w:lang w:val="en-US"/>
        </w:rPr>
      </w:pPr>
      <w:r w:rsidRPr="00D51AB8">
        <w:rPr>
          <w:rFonts w:ascii="Arial" w:hAnsi="Arial" w:cs="Arial"/>
          <w:sz w:val="24"/>
          <w:szCs w:val="28"/>
          <w:lang w:val="en-US"/>
        </w:rPr>
        <w:t>3GPP TSG RAN WG4 Meeting #8</w:t>
      </w:r>
      <w:r w:rsidR="009620E5">
        <w:rPr>
          <w:rFonts w:ascii="Arial" w:hAnsi="Arial" w:cs="Arial"/>
          <w:sz w:val="24"/>
          <w:szCs w:val="28"/>
          <w:lang w:val="en-US"/>
        </w:rPr>
        <w:t>0bis</w:t>
      </w:r>
      <w:r w:rsidR="00D80957" w:rsidRPr="00D51AB8">
        <w:rPr>
          <w:rFonts w:ascii="Arial" w:hAnsi="Arial" w:cs="Arial"/>
          <w:sz w:val="24"/>
          <w:szCs w:val="28"/>
          <w:lang w:val="en-US"/>
        </w:rPr>
        <w:tab/>
      </w:r>
      <w:r w:rsidR="00075040" w:rsidRPr="00D51AB8">
        <w:rPr>
          <w:rFonts w:ascii="Arial" w:hAnsi="Arial" w:cs="Arial"/>
          <w:sz w:val="24"/>
          <w:szCs w:val="28"/>
          <w:lang w:val="en-US"/>
        </w:rPr>
        <w:t>R4-</w:t>
      </w:r>
      <w:r w:rsidR="007D18D2" w:rsidRPr="00D51AB8">
        <w:rPr>
          <w:rFonts w:ascii="Arial" w:hAnsi="Arial" w:cs="Arial"/>
          <w:sz w:val="24"/>
          <w:szCs w:val="28"/>
          <w:lang w:val="en-US"/>
        </w:rPr>
        <w:t>16</w:t>
      </w:r>
      <w:r w:rsidR="00093683">
        <w:rPr>
          <w:rFonts w:ascii="Arial" w:hAnsi="Arial" w:cs="Arial"/>
          <w:sz w:val="24"/>
          <w:szCs w:val="28"/>
          <w:lang w:val="en-US"/>
        </w:rPr>
        <w:t>8515</w:t>
      </w:r>
    </w:p>
    <w:p w:rsidR="00D80957" w:rsidRPr="00B87477" w:rsidRDefault="009620E5" w:rsidP="005A4F39">
      <w:pPr>
        <w:pStyle w:val="Header"/>
        <w:tabs>
          <w:tab w:val="right" w:pos="9072"/>
        </w:tabs>
        <w:rPr>
          <w:rFonts w:ascii="Arial" w:hAnsi="Arial" w:cs="Arial"/>
          <w:sz w:val="24"/>
          <w:szCs w:val="28"/>
          <w:lang w:val="sv-SE"/>
        </w:rPr>
      </w:pPr>
      <w:r w:rsidRPr="00B87477">
        <w:rPr>
          <w:rFonts w:ascii="Arial" w:hAnsi="Arial" w:cs="Arial"/>
          <w:sz w:val="24"/>
          <w:szCs w:val="28"/>
          <w:lang w:val="sv-SE"/>
        </w:rPr>
        <w:t>Ljubljana</w:t>
      </w:r>
      <w:r w:rsidR="008A3944" w:rsidRPr="00B87477">
        <w:rPr>
          <w:rFonts w:ascii="Arial" w:hAnsi="Arial" w:cs="Arial"/>
          <w:sz w:val="24"/>
          <w:szCs w:val="28"/>
          <w:lang w:val="sv-SE"/>
        </w:rPr>
        <w:t xml:space="preserve">, </w:t>
      </w:r>
      <w:r w:rsidR="004C2B63" w:rsidRPr="00B87477">
        <w:rPr>
          <w:rFonts w:ascii="Arial" w:hAnsi="Arial" w:cs="Arial"/>
          <w:sz w:val="24"/>
          <w:szCs w:val="28"/>
          <w:lang w:val="sv-SE"/>
        </w:rPr>
        <w:t>S</w:t>
      </w:r>
      <w:r w:rsidRPr="00B87477">
        <w:rPr>
          <w:rFonts w:ascii="Arial" w:hAnsi="Arial" w:cs="Arial"/>
          <w:sz w:val="24"/>
          <w:szCs w:val="28"/>
          <w:lang w:val="sv-SE"/>
        </w:rPr>
        <w:t>lovenia</w:t>
      </w:r>
      <w:r w:rsidR="007D18D2" w:rsidRPr="00B87477">
        <w:rPr>
          <w:rFonts w:ascii="Arial" w:hAnsi="Arial" w:cs="Arial"/>
          <w:sz w:val="24"/>
          <w:szCs w:val="28"/>
          <w:lang w:val="sv-SE"/>
        </w:rPr>
        <w:t xml:space="preserve">, </w:t>
      </w:r>
      <w:r w:rsidRPr="00B87477">
        <w:rPr>
          <w:rFonts w:ascii="Arial" w:hAnsi="Arial" w:cs="Arial"/>
          <w:sz w:val="24"/>
          <w:szCs w:val="28"/>
          <w:lang w:val="sv-SE"/>
        </w:rPr>
        <w:t>October</w:t>
      </w:r>
      <w:r w:rsidR="008A3944" w:rsidRPr="00B87477">
        <w:rPr>
          <w:rFonts w:ascii="Arial" w:hAnsi="Arial" w:cs="Arial"/>
          <w:sz w:val="24"/>
          <w:szCs w:val="28"/>
          <w:lang w:val="sv-SE"/>
        </w:rPr>
        <w:t xml:space="preserve"> </w:t>
      </w:r>
      <w:r w:rsidRPr="00B87477">
        <w:rPr>
          <w:rFonts w:ascii="Arial" w:hAnsi="Arial" w:cs="Arial"/>
          <w:sz w:val="24"/>
          <w:szCs w:val="28"/>
          <w:lang w:val="sv-SE"/>
        </w:rPr>
        <w:t>10</w:t>
      </w:r>
      <w:r w:rsidR="004C2B63" w:rsidRPr="00B87477">
        <w:rPr>
          <w:rFonts w:ascii="Arial" w:hAnsi="Arial" w:cs="Arial"/>
          <w:sz w:val="24"/>
          <w:szCs w:val="28"/>
          <w:lang w:val="sv-SE"/>
        </w:rPr>
        <w:t xml:space="preserve"> – </w:t>
      </w:r>
      <w:r w:rsidRPr="00B87477">
        <w:rPr>
          <w:rFonts w:ascii="Arial" w:hAnsi="Arial" w:cs="Arial"/>
          <w:sz w:val="24"/>
          <w:szCs w:val="28"/>
          <w:lang w:val="sv-SE"/>
        </w:rPr>
        <w:t>14</w:t>
      </w:r>
      <w:r w:rsidR="00F56366" w:rsidRPr="00B87477">
        <w:rPr>
          <w:rFonts w:ascii="Arial" w:hAnsi="Arial" w:cs="Arial"/>
          <w:sz w:val="24"/>
          <w:szCs w:val="28"/>
          <w:lang w:val="sv-SE"/>
        </w:rPr>
        <w:t>, 2016</w:t>
      </w:r>
    </w:p>
    <w:p w:rsidR="00D80957" w:rsidRPr="00B87477" w:rsidRDefault="00D80957" w:rsidP="0033186E">
      <w:pPr>
        <w:tabs>
          <w:tab w:val="left" w:pos="1985"/>
        </w:tabs>
        <w:spacing w:before="240" w:after="0"/>
        <w:jc w:val="both"/>
        <w:rPr>
          <w:rFonts w:ascii="Arial" w:hAnsi="Arial" w:cs="Arial"/>
          <w:bCs/>
          <w:sz w:val="22"/>
          <w:szCs w:val="22"/>
          <w:lang w:val="sv-SE"/>
        </w:rPr>
      </w:pPr>
      <w:r w:rsidRPr="00B87477">
        <w:rPr>
          <w:rFonts w:ascii="Arial" w:hAnsi="Arial" w:cs="Arial"/>
          <w:b/>
          <w:sz w:val="22"/>
          <w:szCs w:val="22"/>
          <w:lang w:val="sv-SE"/>
        </w:rPr>
        <w:t>Agenda Item:</w:t>
      </w:r>
      <w:r w:rsidRPr="00B87477">
        <w:rPr>
          <w:rFonts w:ascii="Arial" w:hAnsi="Arial" w:cs="Arial"/>
          <w:b/>
          <w:sz w:val="22"/>
          <w:szCs w:val="22"/>
          <w:lang w:val="sv-SE"/>
        </w:rPr>
        <w:tab/>
      </w:r>
      <w:r w:rsidR="00CB73A7" w:rsidRPr="00B87477">
        <w:rPr>
          <w:rFonts w:ascii="Arial" w:hAnsi="Arial" w:cs="Arial"/>
          <w:bCs/>
          <w:sz w:val="22"/>
          <w:szCs w:val="22"/>
          <w:lang w:val="sv-SE"/>
        </w:rPr>
        <w:t>8.20.3.5</w:t>
      </w:r>
    </w:p>
    <w:p w:rsidR="00D80957" w:rsidRPr="00D51AB8" w:rsidRDefault="00D80957" w:rsidP="00D51AB8">
      <w:pPr>
        <w:tabs>
          <w:tab w:val="left" w:pos="1985"/>
        </w:tabs>
        <w:spacing w:after="0"/>
        <w:ind w:right="709"/>
        <w:jc w:val="both"/>
        <w:rPr>
          <w:rFonts w:ascii="Arial" w:hAnsi="Arial" w:cs="Arial"/>
          <w:b/>
          <w:sz w:val="22"/>
          <w:szCs w:val="22"/>
          <w:lang w:val="en-US"/>
        </w:rPr>
      </w:pPr>
      <w:r w:rsidRPr="00D51AB8">
        <w:rPr>
          <w:rFonts w:ascii="Arial" w:hAnsi="Arial" w:cs="Arial"/>
          <w:b/>
          <w:sz w:val="22"/>
          <w:szCs w:val="22"/>
          <w:lang w:val="en-US"/>
        </w:rPr>
        <w:t xml:space="preserve">Source: </w:t>
      </w:r>
      <w:r w:rsidRPr="00D51AB8">
        <w:rPr>
          <w:rFonts w:ascii="Arial" w:hAnsi="Arial" w:cs="Arial"/>
          <w:b/>
          <w:sz w:val="22"/>
          <w:szCs w:val="22"/>
          <w:lang w:val="en-US"/>
        </w:rPr>
        <w:tab/>
      </w:r>
      <w:r w:rsidRPr="00D51AB8">
        <w:rPr>
          <w:rFonts w:ascii="Arial" w:hAnsi="Arial" w:cs="Arial"/>
          <w:bCs/>
          <w:sz w:val="22"/>
          <w:szCs w:val="22"/>
          <w:lang w:val="en-US"/>
        </w:rPr>
        <w:t>Ericsson</w:t>
      </w:r>
    </w:p>
    <w:p w:rsidR="00D80957" w:rsidRPr="00D51AB8" w:rsidRDefault="00D80957" w:rsidP="00D51AB8">
      <w:pPr>
        <w:tabs>
          <w:tab w:val="left" w:pos="1985"/>
        </w:tabs>
        <w:spacing w:after="0"/>
        <w:ind w:right="709"/>
        <w:jc w:val="both"/>
        <w:rPr>
          <w:rFonts w:ascii="Arial" w:hAnsi="Arial" w:cs="Arial"/>
          <w:sz w:val="22"/>
          <w:szCs w:val="22"/>
          <w:lang w:val="en-US"/>
        </w:rPr>
      </w:pPr>
      <w:r w:rsidRPr="00D51AB8">
        <w:rPr>
          <w:rFonts w:ascii="Arial" w:hAnsi="Arial" w:cs="Arial"/>
          <w:b/>
          <w:sz w:val="22"/>
          <w:szCs w:val="22"/>
          <w:lang w:val="en-US"/>
        </w:rPr>
        <w:t>Title:</w:t>
      </w:r>
      <w:r w:rsidRPr="00D51AB8">
        <w:rPr>
          <w:rFonts w:ascii="Arial" w:hAnsi="Arial" w:cs="Arial"/>
          <w:sz w:val="22"/>
          <w:szCs w:val="22"/>
          <w:lang w:val="en-US"/>
        </w:rPr>
        <w:tab/>
      </w:r>
      <w:r w:rsidR="00DC51DE" w:rsidRPr="00D51AB8">
        <w:rPr>
          <w:rFonts w:ascii="Arial" w:hAnsi="Arial" w:cs="Arial"/>
          <w:sz w:val="22"/>
          <w:szCs w:val="22"/>
          <w:lang w:val="en-US"/>
        </w:rPr>
        <w:t xml:space="preserve">RSRP </w:t>
      </w:r>
      <w:r w:rsidR="00BC0D0A" w:rsidRPr="00D51AB8">
        <w:rPr>
          <w:rFonts w:ascii="Arial" w:hAnsi="Arial" w:cs="Arial"/>
          <w:sz w:val="22"/>
          <w:szCs w:val="22"/>
          <w:lang w:val="en-US"/>
        </w:rPr>
        <w:t xml:space="preserve">and RSRQ </w:t>
      </w:r>
      <w:r w:rsidR="009620E5">
        <w:rPr>
          <w:rFonts w:ascii="Arial" w:hAnsi="Arial" w:cs="Arial"/>
          <w:sz w:val="22"/>
          <w:szCs w:val="22"/>
          <w:lang w:val="en-US"/>
        </w:rPr>
        <w:t xml:space="preserve">measurements in </w:t>
      </w:r>
      <w:r w:rsidR="00C40B1C">
        <w:rPr>
          <w:rFonts w:ascii="Arial" w:hAnsi="Arial" w:cs="Arial"/>
          <w:sz w:val="22"/>
          <w:szCs w:val="22"/>
          <w:lang w:val="en-US"/>
        </w:rPr>
        <w:t>GNSS</w:t>
      </w:r>
      <w:r w:rsidR="00CB73A7">
        <w:rPr>
          <w:rFonts w:ascii="Arial" w:hAnsi="Arial" w:cs="Arial"/>
          <w:sz w:val="22"/>
          <w:szCs w:val="22"/>
          <w:lang w:val="en-US"/>
        </w:rPr>
        <w:t xml:space="preserve"> synchronization scenario</w:t>
      </w:r>
    </w:p>
    <w:p w:rsidR="00D80957" w:rsidRPr="00D51AB8" w:rsidRDefault="00D80957" w:rsidP="00D51AB8">
      <w:pPr>
        <w:tabs>
          <w:tab w:val="left" w:pos="1985"/>
        </w:tabs>
        <w:spacing w:after="0"/>
        <w:ind w:right="709"/>
        <w:jc w:val="both"/>
        <w:rPr>
          <w:rFonts w:ascii="Arial" w:hAnsi="Arial" w:cs="Arial"/>
          <w:sz w:val="22"/>
          <w:szCs w:val="22"/>
          <w:lang w:val="en-US"/>
        </w:rPr>
      </w:pPr>
      <w:r w:rsidRPr="00D51AB8">
        <w:rPr>
          <w:rFonts w:ascii="Arial" w:hAnsi="Arial" w:cs="Arial"/>
          <w:b/>
          <w:sz w:val="22"/>
          <w:szCs w:val="22"/>
          <w:lang w:val="en-US"/>
        </w:rPr>
        <w:t>Document for:</w:t>
      </w:r>
      <w:r w:rsidR="0004190F" w:rsidRPr="00D51AB8">
        <w:rPr>
          <w:rFonts w:ascii="Arial" w:hAnsi="Arial" w:cs="Arial"/>
          <w:sz w:val="22"/>
          <w:szCs w:val="22"/>
          <w:lang w:val="en-US"/>
        </w:rPr>
        <w:tab/>
      </w:r>
      <w:r w:rsidR="00F56366" w:rsidRPr="00D51AB8">
        <w:rPr>
          <w:rFonts w:ascii="Arial" w:hAnsi="Arial" w:cs="Arial"/>
          <w:sz w:val="22"/>
          <w:szCs w:val="22"/>
          <w:lang w:val="en-US"/>
        </w:rPr>
        <w:t>Discussion</w:t>
      </w:r>
    </w:p>
    <w:p w:rsidR="00D80957" w:rsidRPr="00D51AB8" w:rsidRDefault="00D80957" w:rsidP="00D51AB8">
      <w:pPr>
        <w:pStyle w:val="Heading1"/>
        <w:ind w:left="431" w:right="709" w:hanging="431"/>
        <w:rPr>
          <w:szCs w:val="36"/>
          <w:lang w:val="en-US"/>
        </w:rPr>
      </w:pPr>
      <w:r w:rsidRPr="00D51AB8">
        <w:rPr>
          <w:szCs w:val="36"/>
          <w:lang w:val="en-US"/>
        </w:rPr>
        <w:t>Introduction</w:t>
      </w:r>
      <w:bookmarkStart w:id="0" w:name="OLE_LINK13"/>
      <w:bookmarkStart w:id="1" w:name="OLE_LINK14"/>
    </w:p>
    <w:p w:rsidR="00054A21" w:rsidRPr="00D51AB8" w:rsidRDefault="00054A21" w:rsidP="00D51AB8">
      <w:pPr>
        <w:tabs>
          <w:tab w:val="left" w:pos="9781"/>
        </w:tabs>
        <w:ind w:right="709"/>
        <w:jc w:val="both"/>
        <w:rPr>
          <w:sz w:val="22"/>
          <w:szCs w:val="22"/>
          <w:lang w:val="en-US"/>
        </w:rPr>
      </w:pPr>
      <w:r w:rsidRPr="00D51AB8">
        <w:rPr>
          <w:sz w:val="22"/>
          <w:szCs w:val="22"/>
          <w:lang w:val="en-US"/>
        </w:rPr>
        <w:t xml:space="preserve">The current </w:t>
      </w:r>
      <w:r w:rsidR="00CB73A7">
        <w:rPr>
          <w:sz w:val="22"/>
          <w:szCs w:val="22"/>
          <w:lang w:val="en-US"/>
        </w:rPr>
        <w:t>WID</w:t>
      </w:r>
      <w:r w:rsidRPr="00D51AB8">
        <w:rPr>
          <w:sz w:val="22"/>
          <w:szCs w:val="22"/>
          <w:lang w:val="en-US"/>
        </w:rPr>
        <w:t xml:space="preserve"> for V2</w:t>
      </w:r>
      <w:r w:rsidR="009620E5">
        <w:rPr>
          <w:sz w:val="22"/>
          <w:szCs w:val="22"/>
          <w:lang w:val="en-US"/>
        </w:rPr>
        <w:t>X</w:t>
      </w:r>
      <w:r w:rsidRPr="00D51AB8">
        <w:rPr>
          <w:sz w:val="22"/>
          <w:szCs w:val="22"/>
          <w:lang w:val="en-US"/>
        </w:rPr>
        <w:t xml:space="preserve"> </w:t>
      </w:r>
      <w:r w:rsidR="00CB73A7" w:rsidRPr="00D51AB8">
        <w:rPr>
          <w:sz w:val="22"/>
          <w:szCs w:val="22"/>
          <w:lang w:val="en-US"/>
        </w:rPr>
        <w:fldChar w:fldCharType="begin"/>
      </w:r>
      <w:r w:rsidR="00CB73A7" w:rsidRPr="00D51AB8">
        <w:rPr>
          <w:sz w:val="22"/>
          <w:szCs w:val="22"/>
          <w:lang w:val="en-US"/>
        </w:rPr>
        <w:instrText xml:space="preserve"> REF _Ref450907582 \r \h  \* MERGEFORMAT </w:instrText>
      </w:r>
      <w:r w:rsidR="00CB73A7" w:rsidRPr="00D51AB8">
        <w:rPr>
          <w:sz w:val="22"/>
          <w:szCs w:val="22"/>
          <w:lang w:val="en-US"/>
        </w:rPr>
      </w:r>
      <w:r w:rsidR="00CB73A7" w:rsidRPr="00D51AB8">
        <w:rPr>
          <w:sz w:val="22"/>
          <w:szCs w:val="22"/>
          <w:lang w:val="en-US"/>
        </w:rPr>
        <w:fldChar w:fldCharType="separate"/>
      </w:r>
      <w:r w:rsidR="00CB73A7">
        <w:rPr>
          <w:sz w:val="22"/>
          <w:szCs w:val="22"/>
          <w:lang w:val="en-US"/>
        </w:rPr>
        <w:t>[1]</w:t>
      </w:r>
      <w:r w:rsidR="00CB73A7" w:rsidRPr="00D51AB8">
        <w:rPr>
          <w:sz w:val="22"/>
          <w:szCs w:val="22"/>
          <w:lang w:val="en-US"/>
        </w:rPr>
        <w:fldChar w:fldCharType="end"/>
      </w:r>
      <w:r w:rsidR="00CB73A7">
        <w:rPr>
          <w:sz w:val="22"/>
          <w:szCs w:val="22"/>
          <w:lang w:val="en-US"/>
        </w:rPr>
        <w:t xml:space="preserve"> </w:t>
      </w:r>
      <w:r w:rsidR="001B7EA1">
        <w:rPr>
          <w:sz w:val="22"/>
          <w:szCs w:val="22"/>
          <w:lang w:val="en-US"/>
        </w:rPr>
        <w:t>states</w:t>
      </w:r>
      <w:r w:rsidR="001B7EA1" w:rsidRPr="00D51AB8">
        <w:rPr>
          <w:sz w:val="22"/>
          <w:szCs w:val="22"/>
          <w:lang w:val="en-US"/>
        </w:rPr>
        <w:t xml:space="preserve"> </w:t>
      </w:r>
      <w:r w:rsidRPr="00D51AB8">
        <w:rPr>
          <w:sz w:val="22"/>
          <w:szCs w:val="22"/>
          <w:lang w:val="en-US"/>
        </w:rPr>
        <w:t>th</w:t>
      </w:r>
      <w:r w:rsidR="00CB73A7">
        <w:rPr>
          <w:sz w:val="22"/>
          <w:szCs w:val="22"/>
          <w:lang w:val="en-US"/>
        </w:rPr>
        <w:t>at RAN4 shall specify RRM core requirements</w:t>
      </w:r>
      <w:r w:rsidR="001B7EA1">
        <w:rPr>
          <w:sz w:val="22"/>
          <w:szCs w:val="22"/>
          <w:lang w:val="en-US"/>
        </w:rPr>
        <w:t xml:space="preserve"> for V2X operation.</w:t>
      </w:r>
    </w:p>
    <w:p w:rsidR="00F0036E" w:rsidRDefault="00054A21" w:rsidP="00D51AB8">
      <w:pPr>
        <w:tabs>
          <w:tab w:val="left" w:pos="9781"/>
        </w:tabs>
        <w:ind w:right="709"/>
        <w:jc w:val="both"/>
        <w:rPr>
          <w:sz w:val="22"/>
          <w:szCs w:val="22"/>
          <w:lang w:val="en-US"/>
        </w:rPr>
      </w:pPr>
      <w:r w:rsidRPr="00D51AB8">
        <w:rPr>
          <w:sz w:val="22"/>
          <w:szCs w:val="22"/>
          <w:lang w:val="en-US"/>
        </w:rPr>
        <w:t xml:space="preserve">RAN1 has agreed </w:t>
      </w:r>
      <w:r w:rsidR="00E86A07" w:rsidRPr="00D51AB8">
        <w:rPr>
          <w:sz w:val="22"/>
          <w:szCs w:val="22"/>
          <w:lang w:val="en-US"/>
        </w:rPr>
        <w:t>on working assumptions</w:t>
      </w:r>
      <w:r w:rsidR="003B6F28" w:rsidRPr="00D51AB8">
        <w:rPr>
          <w:sz w:val="22"/>
          <w:szCs w:val="22"/>
          <w:lang w:val="en-US"/>
        </w:rPr>
        <w:t xml:space="preserve"> </w:t>
      </w:r>
      <w:r w:rsidR="009A4295" w:rsidRPr="00D51AB8">
        <w:rPr>
          <w:sz w:val="22"/>
          <w:szCs w:val="22"/>
          <w:lang w:val="en-US"/>
        </w:rPr>
        <w:t>stating</w:t>
      </w:r>
      <w:r w:rsidR="00F0036E">
        <w:rPr>
          <w:sz w:val="22"/>
          <w:szCs w:val="22"/>
          <w:lang w:val="en-US"/>
        </w:rPr>
        <w:t xml:space="preserve"> that</w:t>
      </w:r>
      <w:r w:rsidR="009A4295" w:rsidRPr="00D51AB8">
        <w:rPr>
          <w:sz w:val="22"/>
          <w:szCs w:val="22"/>
          <w:lang w:val="en-US"/>
        </w:rPr>
        <w:t xml:space="preserve"> </w:t>
      </w:r>
      <w:r w:rsidRPr="00D51AB8">
        <w:rPr>
          <w:sz w:val="22"/>
          <w:szCs w:val="22"/>
          <w:lang w:val="en-US"/>
        </w:rPr>
        <w:t xml:space="preserve">absolute </w:t>
      </w:r>
      <w:r w:rsidR="00F0036E">
        <w:rPr>
          <w:sz w:val="22"/>
          <w:szCs w:val="22"/>
          <w:lang w:val="en-US"/>
        </w:rPr>
        <w:t>velocity of 250km/h and relative velocity of 500km/h is to be supported</w:t>
      </w:r>
      <w:r w:rsidR="006C4EC1">
        <w:rPr>
          <w:sz w:val="22"/>
          <w:szCs w:val="22"/>
          <w:lang w:val="en-US"/>
        </w:rPr>
        <w:t xml:space="preserve"> for V2V operation</w:t>
      </w:r>
      <w:r w:rsidR="00F0036E">
        <w:rPr>
          <w:sz w:val="22"/>
          <w:szCs w:val="22"/>
          <w:lang w:val="en-US"/>
        </w:rPr>
        <w:t xml:space="preserve">. </w:t>
      </w:r>
      <w:r w:rsidR="00F6266A">
        <w:rPr>
          <w:sz w:val="22"/>
          <w:szCs w:val="22"/>
          <w:lang w:val="en-US"/>
        </w:rPr>
        <w:t>Given the discussions at RAN4#80 where consensus was reached only for GNSS-based synchronization</w:t>
      </w:r>
      <w:r w:rsidR="008B321F">
        <w:rPr>
          <w:sz w:val="22"/>
          <w:szCs w:val="22"/>
          <w:lang w:val="en-US"/>
        </w:rPr>
        <w:t>, with</w:t>
      </w:r>
      <w:r w:rsidR="00F6266A">
        <w:rPr>
          <w:sz w:val="22"/>
          <w:szCs w:val="22"/>
          <w:lang w:val="en-US"/>
        </w:rPr>
        <w:t xml:space="preserve"> other synchronization options still are under discussion, only the absolute </w:t>
      </w:r>
      <w:r w:rsidR="008B321F">
        <w:rPr>
          <w:sz w:val="22"/>
          <w:szCs w:val="22"/>
          <w:lang w:val="en-US"/>
        </w:rPr>
        <w:t>velocity is considered in this contribution.</w:t>
      </w:r>
      <w:r w:rsidR="006C4EC1">
        <w:rPr>
          <w:sz w:val="22"/>
          <w:szCs w:val="22"/>
          <w:lang w:val="en-US"/>
        </w:rPr>
        <w:t xml:space="preserve"> </w:t>
      </w:r>
    </w:p>
    <w:p w:rsidR="00BC2FBA" w:rsidRDefault="00BC2FBA" w:rsidP="00D51AB8">
      <w:pPr>
        <w:tabs>
          <w:tab w:val="left" w:pos="9781"/>
        </w:tabs>
        <w:ind w:right="709"/>
        <w:jc w:val="both"/>
        <w:rPr>
          <w:sz w:val="22"/>
          <w:szCs w:val="22"/>
          <w:lang w:val="en-US"/>
        </w:rPr>
      </w:pPr>
      <w:r>
        <w:rPr>
          <w:sz w:val="22"/>
          <w:szCs w:val="22"/>
          <w:lang w:val="en-US"/>
        </w:rPr>
        <w:t>The use case for which the s</w:t>
      </w:r>
      <w:r w:rsidR="00D27E7E">
        <w:rPr>
          <w:sz w:val="22"/>
          <w:szCs w:val="22"/>
          <w:lang w:val="en-US"/>
        </w:rPr>
        <w:t xml:space="preserve">imulation results </w:t>
      </w:r>
      <w:r>
        <w:rPr>
          <w:sz w:val="22"/>
          <w:szCs w:val="22"/>
          <w:lang w:val="en-US"/>
        </w:rPr>
        <w:t>are applicable is:</w:t>
      </w:r>
    </w:p>
    <w:p w:rsidR="00BC2FBA" w:rsidRDefault="005978DE" w:rsidP="00B87477">
      <w:pPr>
        <w:pStyle w:val="ListParagraph"/>
        <w:numPr>
          <w:ilvl w:val="0"/>
          <w:numId w:val="12"/>
        </w:numPr>
        <w:tabs>
          <w:tab w:val="left" w:pos="9781"/>
        </w:tabs>
        <w:ind w:right="709"/>
        <w:jc w:val="both"/>
        <w:rPr>
          <w:sz w:val="22"/>
          <w:szCs w:val="22"/>
          <w:lang w:val="en-US"/>
        </w:rPr>
      </w:pPr>
      <w:r>
        <w:rPr>
          <w:sz w:val="22"/>
          <w:szCs w:val="22"/>
          <w:lang w:val="en-US"/>
        </w:rPr>
        <w:t>UE is out-of-network coverage,</w:t>
      </w:r>
    </w:p>
    <w:p w:rsidR="005978DE" w:rsidRDefault="005978DE" w:rsidP="00B87477">
      <w:pPr>
        <w:pStyle w:val="ListParagraph"/>
        <w:numPr>
          <w:ilvl w:val="0"/>
          <w:numId w:val="12"/>
        </w:numPr>
        <w:tabs>
          <w:tab w:val="left" w:pos="9781"/>
        </w:tabs>
        <w:ind w:right="709"/>
        <w:jc w:val="both"/>
        <w:rPr>
          <w:sz w:val="22"/>
          <w:szCs w:val="22"/>
          <w:lang w:val="en-US"/>
        </w:rPr>
      </w:pPr>
      <w:r>
        <w:rPr>
          <w:sz w:val="22"/>
          <w:szCs w:val="22"/>
          <w:lang w:val="en-US"/>
        </w:rPr>
        <w:t>UE maintains frequency synchronization via reception of GNSS signals, and</w:t>
      </w:r>
    </w:p>
    <w:p w:rsidR="005978DE" w:rsidRDefault="005978DE" w:rsidP="00B87477">
      <w:pPr>
        <w:pStyle w:val="ListParagraph"/>
        <w:numPr>
          <w:ilvl w:val="0"/>
          <w:numId w:val="12"/>
        </w:numPr>
        <w:tabs>
          <w:tab w:val="left" w:pos="9781"/>
        </w:tabs>
        <w:ind w:right="709"/>
        <w:jc w:val="both"/>
        <w:rPr>
          <w:sz w:val="22"/>
          <w:szCs w:val="22"/>
          <w:lang w:val="en-US"/>
        </w:rPr>
      </w:pPr>
      <w:r>
        <w:rPr>
          <w:sz w:val="22"/>
          <w:szCs w:val="22"/>
          <w:lang w:val="en-US"/>
        </w:rPr>
        <w:t>UE has detected a potential cell and is conducting RSRP and RSRQ measurements as part of the evaluation on whether a cell has been found and whether it fulfills the requirements</w:t>
      </w:r>
      <w:r w:rsidR="00D27E7E">
        <w:rPr>
          <w:sz w:val="22"/>
          <w:szCs w:val="22"/>
          <w:lang w:val="en-US"/>
        </w:rPr>
        <w:t>.</w:t>
      </w:r>
    </w:p>
    <w:p w:rsidR="00D60F1F" w:rsidRDefault="00D27E7E">
      <w:pPr>
        <w:tabs>
          <w:tab w:val="left" w:pos="9781"/>
        </w:tabs>
        <w:ind w:right="709"/>
        <w:jc w:val="both"/>
        <w:rPr>
          <w:sz w:val="22"/>
          <w:szCs w:val="22"/>
          <w:lang w:val="en-US"/>
        </w:rPr>
      </w:pPr>
      <w:r>
        <w:rPr>
          <w:sz w:val="22"/>
          <w:szCs w:val="22"/>
          <w:lang w:val="en-US"/>
        </w:rPr>
        <w:t>Since currently a working assumption on the highest carrier frequency to consider for the network cell has not been agree, a carrier frequency of 6GHz</w:t>
      </w:r>
      <w:r w:rsidR="00D60F1F">
        <w:rPr>
          <w:sz w:val="22"/>
          <w:szCs w:val="22"/>
          <w:lang w:val="en-US"/>
        </w:rPr>
        <w:t>, stemming from the V2V WID, is considered. Thus the following channel conditions are investigated:</w:t>
      </w:r>
    </w:p>
    <w:p w:rsidR="00D60F1F" w:rsidRDefault="00D60F1F" w:rsidP="00B87477">
      <w:pPr>
        <w:pStyle w:val="ListParagraph"/>
        <w:numPr>
          <w:ilvl w:val="0"/>
          <w:numId w:val="13"/>
        </w:numPr>
        <w:tabs>
          <w:tab w:val="left" w:pos="9781"/>
        </w:tabs>
        <w:ind w:right="709"/>
        <w:jc w:val="both"/>
        <w:rPr>
          <w:sz w:val="22"/>
          <w:szCs w:val="22"/>
          <w:lang w:val="en-US"/>
        </w:rPr>
      </w:pPr>
      <w:r>
        <w:rPr>
          <w:sz w:val="22"/>
          <w:szCs w:val="22"/>
          <w:lang w:val="en-US"/>
        </w:rPr>
        <w:t xml:space="preserve">AWGN with 1350Hz </w:t>
      </w:r>
      <w:r w:rsidR="007C7271">
        <w:rPr>
          <w:sz w:val="22"/>
          <w:szCs w:val="22"/>
          <w:lang w:val="en-US"/>
        </w:rPr>
        <w:t xml:space="preserve">perceived </w:t>
      </w:r>
      <w:r>
        <w:rPr>
          <w:sz w:val="22"/>
          <w:szCs w:val="22"/>
          <w:lang w:val="en-US"/>
        </w:rPr>
        <w:t>carrier frequency offset (CFO),</w:t>
      </w:r>
    </w:p>
    <w:p w:rsidR="00D60F1F" w:rsidRDefault="00D60F1F" w:rsidP="00B87477">
      <w:pPr>
        <w:pStyle w:val="ListParagraph"/>
        <w:numPr>
          <w:ilvl w:val="0"/>
          <w:numId w:val="13"/>
        </w:numPr>
        <w:tabs>
          <w:tab w:val="left" w:pos="9781"/>
        </w:tabs>
        <w:ind w:right="709"/>
        <w:jc w:val="both"/>
        <w:rPr>
          <w:sz w:val="22"/>
          <w:szCs w:val="22"/>
          <w:lang w:val="en-US"/>
        </w:rPr>
      </w:pPr>
      <w:r>
        <w:rPr>
          <w:sz w:val="22"/>
          <w:szCs w:val="22"/>
          <w:lang w:val="en-US"/>
        </w:rPr>
        <w:t>EVA1350 with CFO 0Hz</w:t>
      </w:r>
    </w:p>
    <w:p w:rsidR="007C7271" w:rsidRPr="00B87477" w:rsidRDefault="00D60F1F" w:rsidP="00B87477">
      <w:pPr>
        <w:pStyle w:val="ListParagraph"/>
        <w:numPr>
          <w:ilvl w:val="0"/>
          <w:numId w:val="13"/>
        </w:numPr>
        <w:tabs>
          <w:tab w:val="left" w:pos="9781"/>
        </w:tabs>
        <w:ind w:right="709"/>
        <w:jc w:val="both"/>
        <w:rPr>
          <w:sz w:val="22"/>
          <w:szCs w:val="22"/>
          <w:lang w:val="en-US"/>
        </w:rPr>
      </w:pPr>
      <w:r>
        <w:rPr>
          <w:sz w:val="22"/>
          <w:szCs w:val="22"/>
          <w:lang w:val="en-US"/>
        </w:rPr>
        <w:t xml:space="preserve">ETU500 </w:t>
      </w:r>
      <w:r w:rsidR="007C7271">
        <w:rPr>
          <w:sz w:val="22"/>
          <w:szCs w:val="22"/>
          <w:lang w:val="en-US"/>
        </w:rPr>
        <w:t xml:space="preserve">  </w:t>
      </w:r>
      <w:r>
        <w:rPr>
          <w:sz w:val="22"/>
          <w:szCs w:val="22"/>
          <w:lang w:val="en-US"/>
        </w:rPr>
        <w:t>with CFO 0Hz</w:t>
      </w:r>
    </w:p>
    <w:p w:rsidR="00D27E7E" w:rsidRDefault="00D27E7E">
      <w:pPr>
        <w:tabs>
          <w:tab w:val="left" w:pos="9781"/>
        </w:tabs>
        <w:ind w:right="709"/>
        <w:jc w:val="both"/>
        <w:rPr>
          <w:sz w:val="22"/>
          <w:szCs w:val="22"/>
          <w:lang w:val="en-US"/>
        </w:rPr>
      </w:pPr>
      <w:r>
        <w:rPr>
          <w:sz w:val="22"/>
          <w:szCs w:val="22"/>
          <w:lang w:val="en-US"/>
        </w:rPr>
        <w:t xml:space="preserve">It shall be noted that with other synchronization sources, such as </w:t>
      </w:r>
      <w:r w:rsidR="00D60F1F">
        <w:rPr>
          <w:sz w:val="22"/>
          <w:szCs w:val="22"/>
          <w:lang w:val="en-US"/>
        </w:rPr>
        <w:t>PC5 (</w:t>
      </w:r>
      <w:r>
        <w:rPr>
          <w:sz w:val="22"/>
          <w:szCs w:val="22"/>
          <w:lang w:val="en-US"/>
        </w:rPr>
        <w:t>sidelink</w:t>
      </w:r>
      <w:r w:rsidR="00D60F1F">
        <w:rPr>
          <w:sz w:val="22"/>
          <w:szCs w:val="22"/>
          <w:lang w:val="en-US"/>
        </w:rPr>
        <w:t>)</w:t>
      </w:r>
      <w:r>
        <w:rPr>
          <w:sz w:val="22"/>
          <w:szCs w:val="22"/>
          <w:lang w:val="en-US"/>
        </w:rPr>
        <w:t>,</w:t>
      </w:r>
      <w:r w:rsidR="00D60F1F">
        <w:rPr>
          <w:sz w:val="22"/>
          <w:szCs w:val="22"/>
          <w:lang w:val="en-US"/>
        </w:rPr>
        <w:t xml:space="preserve"> the UE may experience a larger frequency offset</w:t>
      </w:r>
      <w:r w:rsidR="007C7271">
        <w:rPr>
          <w:sz w:val="22"/>
          <w:szCs w:val="22"/>
          <w:lang w:val="en-US"/>
        </w:rPr>
        <w:t>.</w:t>
      </w:r>
    </w:p>
    <w:p w:rsidR="008661EB" w:rsidRDefault="008661EB" w:rsidP="00432CCB">
      <w:pPr>
        <w:tabs>
          <w:tab w:val="left" w:pos="9781"/>
        </w:tabs>
        <w:ind w:right="709"/>
        <w:jc w:val="both"/>
        <w:rPr>
          <w:sz w:val="22"/>
          <w:szCs w:val="22"/>
          <w:lang w:val="en-US"/>
        </w:rPr>
      </w:pPr>
      <w:r>
        <w:rPr>
          <w:sz w:val="22"/>
          <w:szCs w:val="22"/>
          <w:lang w:val="en-US"/>
        </w:rPr>
        <w:t>The RSRP and RSRQ measurements are described in Section 2, along with a sensitivity analysis with respect to carrier frequency offset. Simulation assumptions and simulation results are provided in Section 3.</w:t>
      </w:r>
      <w:r w:rsidR="00CB73A7">
        <w:rPr>
          <w:sz w:val="22"/>
          <w:szCs w:val="22"/>
          <w:lang w:val="en-US"/>
        </w:rPr>
        <w:t xml:space="preserve"> </w:t>
      </w:r>
      <w:r>
        <w:rPr>
          <w:sz w:val="22"/>
          <w:szCs w:val="22"/>
          <w:lang w:val="en-US"/>
        </w:rPr>
        <w:t>The simulations are summarized and concluded in Section 4.</w:t>
      </w:r>
    </w:p>
    <w:p w:rsidR="00054A21" w:rsidRPr="00D37487" w:rsidRDefault="00D37487" w:rsidP="00D37487">
      <w:pPr>
        <w:pStyle w:val="Heading1"/>
        <w:tabs>
          <w:tab w:val="left" w:pos="9781"/>
        </w:tabs>
        <w:ind w:left="431" w:right="709" w:hanging="431"/>
        <w:rPr>
          <w:szCs w:val="36"/>
          <w:lang w:val="en-US"/>
        </w:rPr>
      </w:pPr>
      <w:r>
        <w:rPr>
          <w:szCs w:val="36"/>
          <w:lang w:val="en-US"/>
        </w:rPr>
        <w:t>RSRP and RSRQ measurements</w:t>
      </w:r>
    </w:p>
    <w:p w:rsidR="004831A7" w:rsidRPr="00D51AB8" w:rsidRDefault="0073071E" w:rsidP="00D51AB8">
      <w:pPr>
        <w:tabs>
          <w:tab w:val="left" w:pos="9781"/>
        </w:tabs>
        <w:ind w:right="709"/>
        <w:jc w:val="both"/>
        <w:rPr>
          <w:sz w:val="22"/>
          <w:szCs w:val="22"/>
          <w:lang w:val="en-US"/>
        </w:rPr>
      </w:pPr>
      <w:r w:rsidRPr="00D51AB8">
        <w:rPr>
          <w:sz w:val="22"/>
          <w:szCs w:val="22"/>
          <w:lang w:val="en-US"/>
        </w:rPr>
        <w:t>RSRP measurements are carried out on CRSs that are transmitted in a cell. The minimum distance between two OFDM symbols carrying CRSs for the same antenna port(s) is three OFDM symbols (0.214µs).</w:t>
      </w:r>
      <w:r w:rsidR="002114C1">
        <w:rPr>
          <w:sz w:val="22"/>
          <w:szCs w:val="22"/>
          <w:lang w:val="en-US"/>
        </w:rPr>
        <w:t xml:space="preserve"> </w:t>
      </w:r>
      <w:r w:rsidR="002114C1">
        <w:rPr>
          <w:sz w:val="22"/>
          <w:szCs w:val="22"/>
          <w:lang w:val="en-US" w:eastAsia="ja-JP"/>
        </w:rPr>
        <w:t>The</w:t>
      </w:r>
      <w:r w:rsidR="002C022D" w:rsidRPr="00D51AB8">
        <w:rPr>
          <w:sz w:val="22"/>
          <w:szCs w:val="22"/>
          <w:lang w:val="en-US" w:eastAsia="ja-JP"/>
        </w:rPr>
        <w:t xml:space="preserve"> measurements are carried out by a combination of coherent and non-coherent averaging</w:t>
      </w:r>
      <w:r w:rsidR="001A6114" w:rsidRPr="00D51AB8">
        <w:rPr>
          <w:sz w:val="22"/>
          <w:szCs w:val="22"/>
          <w:lang w:val="en-US" w:eastAsia="ja-JP"/>
        </w:rPr>
        <w:t xml:space="preserve"> operations</w:t>
      </w:r>
      <w:r w:rsidR="00C560D1" w:rsidRPr="00D51AB8">
        <w:rPr>
          <w:sz w:val="22"/>
          <w:szCs w:val="22"/>
          <w:lang w:val="en-US" w:eastAsia="ja-JP"/>
        </w:rPr>
        <w:t xml:space="preserve">. The CRS </w:t>
      </w:r>
      <w:r w:rsidR="002C022D" w:rsidRPr="00D51AB8">
        <w:rPr>
          <w:sz w:val="22"/>
          <w:szCs w:val="22"/>
          <w:lang w:val="en-US" w:eastAsia="ja-JP"/>
        </w:rPr>
        <w:t xml:space="preserve">in a subframe are de-rotated to obtain channel samples and then an average </w:t>
      </w:r>
      <w:r w:rsidR="004831A7" w:rsidRPr="00D51AB8">
        <w:rPr>
          <w:sz w:val="22"/>
          <w:szCs w:val="22"/>
          <w:lang w:val="en-US" w:eastAsia="ja-JP"/>
        </w:rPr>
        <w:t xml:space="preserve">is calculated based on </w:t>
      </w:r>
      <w:r w:rsidR="002C022D" w:rsidRPr="00D51AB8">
        <w:rPr>
          <w:sz w:val="22"/>
          <w:szCs w:val="22"/>
          <w:lang w:val="en-US" w:eastAsia="ja-JP"/>
        </w:rPr>
        <w:t xml:space="preserve">a number of </w:t>
      </w:r>
      <w:r w:rsidR="004831A7" w:rsidRPr="00D51AB8">
        <w:rPr>
          <w:sz w:val="22"/>
          <w:szCs w:val="22"/>
          <w:lang w:val="en-US" w:eastAsia="ja-JP"/>
        </w:rPr>
        <w:t xml:space="preserve">adjacent </w:t>
      </w:r>
      <w:r w:rsidR="002C022D" w:rsidRPr="00D51AB8">
        <w:rPr>
          <w:sz w:val="22"/>
          <w:szCs w:val="22"/>
          <w:lang w:val="en-US" w:eastAsia="ja-JP"/>
        </w:rPr>
        <w:t>channel samples.</w:t>
      </w:r>
      <w:r w:rsidR="004831A7" w:rsidRPr="00D51AB8">
        <w:rPr>
          <w:sz w:val="22"/>
          <w:szCs w:val="22"/>
          <w:lang w:val="en-US" w:eastAsia="ja-JP"/>
        </w:rPr>
        <w:t xml:space="preserve"> </w:t>
      </w:r>
    </w:p>
    <w:p w:rsidR="004831A7" w:rsidRPr="00D51AB8" w:rsidRDefault="004831A7" w:rsidP="00D51AB8">
      <w:pPr>
        <w:tabs>
          <w:tab w:val="left" w:pos="9781"/>
        </w:tabs>
        <w:ind w:right="709"/>
        <w:jc w:val="both"/>
        <w:rPr>
          <w:sz w:val="22"/>
          <w:szCs w:val="22"/>
          <w:lang w:val="en-US" w:eastAsia="ja-JP"/>
        </w:rPr>
      </w:pPr>
      <w:r w:rsidRPr="00D51AB8">
        <w:rPr>
          <w:sz w:val="22"/>
          <w:szCs w:val="22"/>
          <w:lang w:val="en-US" w:eastAsia="ja-JP"/>
        </w:rPr>
        <w:t xml:space="preserve">In legacy LTE the baseline assumption has been that the 8 CRSs available for antenna port 0 in a PRB pair are used for forming one coherent average, thereby allowing an improvement in SNR of up to 9 dB compared to a single CRS. The averaging over a PRB pair was chosen since it provided a good balance between </w:t>
      </w:r>
      <w:r w:rsidR="009E1382" w:rsidRPr="00D51AB8">
        <w:rPr>
          <w:sz w:val="22"/>
          <w:szCs w:val="22"/>
          <w:lang w:val="en-US" w:eastAsia="ja-JP"/>
        </w:rPr>
        <w:t xml:space="preserve">robustness </w:t>
      </w:r>
      <w:r w:rsidR="00F9726B" w:rsidRPr="00D51AB8">
        <w:rPr>
          <w:sz w:val="22"/>
          <w:szCs w:val="22"/>
          <w:lang w:val="en-US" w:eastAsia="ja-JP"/>
        </w:rPr>
        <w:t>to</w:t>
      </w:r>
      <w:r w:rsidR="009E1382" w:rsidRPr="00D51AB8">
        <w:rPr>
          <w:sz w:val="22"/>
          <w:szCs w:val="22"/>
          <w:lang w:val="en-US" w:eastAsia="ja-JP"/>
        </w:rPr>
        <w:t xml:space="preserve"> frequency and time characteristics of the propagation channel respectively.</w:t>
      </w:r>
    </w:p>
    <w:p w:rsidR="002A3AEF" w:rsidRDefault="004831A7" w:rsidP="00D51AB8">
      <w:pPr>
        <w:tabs>
          <w:tab w:val="left" w:pos="9781"/>
        </w:tabs>
        <w:ind w:right="709"/>
        <w:jc w:val="both"/>
        <w:rPr>
          <w:sz w:val="22"/>
          <w:szCs w:val="22"/>
          <w:lang w:val="en-US" w:eastAsia="ja-JP"/>
        </w:rPr>
      </w:pPr>
      <w:r w:rsidRPr="00D51AB8">
        <w:rPr>
          <w:sz w:val="22"/>
          <w:szCs w:val="22"/>
          <w:lang w:val="en-US" w:eastAsia="ja-JP"/>
        </w:rPr>
        <w:t>In order to estimat</w:t>
      </w:r>
      <w:r w:rsidR="0045105A">
        <w:rPr>
          <w:sz w:val="22"/>
          <w:szCs w:val="22"/>
          <w:lang w:val="en-US" w:eastAsia="ja-JP"/>
        </w:rPr>
        <w:t>e</w:t>
      </w:r>
      <w:r w:rsidRPr="00D51AB8">
        <w:rPr>
          <w:sz w:val="22"/>
          <w:szCs w:val="22"/>
          <w:lang w:val="en-US" w:eastAsia="ja-JP"/>
        </w:rPr>
        <w:t xml:space="preserve"> the power</w:t>
      </w:r>
      <w:r w:rsidR="0045105A">
        <w:rPr>
          <w:sz w:val="22"/>
          <w:szCs w:val="22"/>
          <w:lang w:val="en-US" w:eastAsia="ja-JP"/>
        </w:rPr>
        <w:t>,</w:t>
      </w:r>
      <w:r w:rsidRPr="00D51AB8">
        <w:rPr>
          <w:sz w:val="22"/>
          <w:szCs w:val="22"/>
          <w:lang w:val="en-US" w:eastAsia="ja-JP"/>
        </w:rPr>
        <w:t xml:space="preserve"> the absolute values of the channel sample averages are squared and </w:t>
      </w:r>
      <w:r w:rsidR="009E1382" w:rsidRPr="00D51AB8">
        <w:rPr>
          <w:sz w:val="22"/>
          <w:szCs w:val="22"/>
          <w:lang w:val="en-US" w:eastAsia="ja-JP"/>
        </w:rPr>
        <w:t>averaged non-coherently. The non-coherent averaging may extend over multiple subframes, where in legacy LTE the baseline was to average non-coherently over 10 subframes during a period of 200ms.</w:t>
      </w:r>
    </w:p>
    <w:p w:rsidR="002A3AEF" w:rsidRDefault="002114C1" w:rsidP="002114C1">
      <w:pPr>
        <w:tabs>
          <w:tab w:val="left" w:pos="9781"/>
        </w:tabs>
        <w:ind w:right="709"/>
        <w:jc w:val="both"/>
        <w:rPr>
          <w:sz w:val="22"/>
          <w:szCs w:val="22"/>
          <w:lang w:val="en-US" w:eastAsia="ja-JP"/>
        </w:rPr>
      </w:pPr>
      <w:r>
        <w:rPr>
          <w:sz w:val="22"/>
          <w:szCs w:val="22"/>
          <w:lang w:val="en-US" w:eastAsia="ja-JP"/>
        </w:rPr>
        <w:lastRenderedPageBreak/>
        <w:t xml:space="preserve">RSRQ is carried out by measuring RSSI over the same symbols and bandwidth as used for the RSRP measurements, and then forming the ratio between RSRP and RSSI. </w:t>
      </w:r>
    </w:p>
    <w:p w:rsidR="002114C1" w:rsidRPr="00D51AB8" w:rsidRDefault="002114C1" w:rsidP="002114C1">
      <w:pPr>
        <w:ind w:right="709"/>
        <w:jc w:val="both"/>
        <w:rPr>
          <w:sz w:val="22"/>
          <w:szCs w:val="22"/>
          <w:lang w:val="en-US" w:eastAsia="ja-JP"/>
        </w:rPr>
      </w:pPr>
      <w:r w:rsidRPr="00D51AB8">
        <w:rPr>
          <w:sz w:val="22"/>
          <w:szCs w:val="22"/>
          <w:lang w:val="en-US" w:eastAsia="ja-JP"/>
        </w:rPr>
        <w:t xml:space="preserve">The received signal is subjected to Doppler shift when the transmitter and/or receiver are moving at speed. The Doppler shift is proportional to the carrier frequency </w:t>
      </w:r>
      <w:r w:rsidRPr="00D51AB8">
        <w:rPr>
          <w:i/>
          <w:sz w:val="22"/>
          <w:szCs w:val="22"/>
          <w:lang w:val="en-US" w:eastAsia="ja-JP"/>
        </w:rPr>
        <w:t>f</w:t>
      </w:r>
      <w:r w:rsidRPr="00D51AB8">
        <w:rPr>
          <w:i/>
          <w:sz w:val="22"/>
          <w:szCs w:val="22"/>
          <w:vertAlign w:val="subscript"/>
          <w:lang w:val="en-US" w:eastAsia="ja-JP"/>
        </w:rPr>
        <w:t>c</w:t>
      </w:r>
      <w:r w:rsidRPr="00D51AB8">
        <w:rPr>
          <w:i/>
          <w:sz w:val="22"/>
          <w:szCs w:val="22"/>
          <w:lang w:val="en-US" w:eastAsia="ja-JP"/>
        </w:rPr>
        <w:t xml:space="preserve"> </w:t>
      </w:r>
      <w:r w:rsidRPr="00D51AB8">
        <w:rPr>
          <w:sz w:val="22"/>
          <w:szCs w:val="22"/>
          <w:lang w:val="en-US" w:eastAsia="ja-JP"/>
        </w:rPr>
        <w:t>and to the relative velocity ∆</w:t>
      </w:r>
      <w:r w:rsidRPr="00D51AB8">
        <w:rPr>
          <w:i/>
          <w:sz w:val="22"/>
          <w:szCs w:val="22"/>
          <w:lang w:val="en-US" w:eastAsia="ja-JP"/>
        </w:rPr>
        <w:t xml:space="preserve">v </w:t>
      </w:r>
      <w:r w:rsidRPr="00D51AB8">
        <w:rPr>
          <w:sz w:val="22"/>
          <w:szCs w:val="22"/>
          <w:lang w:val="en-US" w:eastAsia="ja-JP"/>
        </w:rPr>
        <w:t>between the transmitter and receiver;</w:t>
      </w:r>
    </w:p>
    <w:p w:rsidR="002114C1" w:rsidRPr="00D51AB8" w:rsidRDefault="002114C1" w:rsidP="002114C1">
      <w:pPr>
        <w:ind w:right="709"/>
        <w:jc w:val="center"/>
        <w:rPr>
          <w:sz w:val="22"/>
          <w:szCs w:val="22"/>
          <w:lang w:val="en-US" w:eastAsia="ja-JP"/>
        </w:rPr>
      </w:pPr>
      <m:oMath>
        <m:r>
          <w:rPr>
            <w:rFonts w:ascii="Cambria Math" w:hAnsi="Cambria Math"/>
            <w:sz w:val="22"/>
            <w:szCs w:val="22"/>
            <w:lang w:val="en-US" w:eastAsia="ja-JP"/>
          </w:rPr>
          <m:t>∆f=</m:t>
        </m:r>
        <m:sSub>
          <m:sSubPr>
            <m:ctrlPr>
              <w:rPr>
                <w:rFonts w:ascii="Cambria Math" w:hAnsi="Cambria Math"/>
                <w:i/>
                <w:sz w:val="22"/>
                <w:szCs w:val="22"/>
                <w:lang w:val="en-US" w:eastAsia="ja-JP"/>
              </w:rPr>
            </m:ctrlPr>
          </m:sSubPr>
          <m:e>
            <m:r>
              <w:rPr>
                <w:rFonts w:ascii="Cambria Math" w:hAnsi="Cambria Math"/>
                <w:sz w:val="22"/>
                <w:szCs w:val="22"/>
                <w:lang w:val="en-US" w:eastAsia="ja-JP"/>
              </w:rPr>
              <m:t>f</m:t>
            </m:r>
          </m:e>
          <m:sub>
            <m:r>
              <w:rPr>
                <w:rFonts w:ascii="Cambria Math" w:hAnsi="Cambria Math"/>
                <w:sz w:val="22"/>
                <w:szCs w:val="22"/>
                <w:lang w:val="en-US" w:eastAsia="ja-JP"/>
              </w:rPr>
              <m:t>c</m:t>
            </m:r>
          </m:sub>
        </m:sSub>
        <m:f>
          <m:fPr>
            <m:type m:val="skw"/>
            <m:ctrlPr>
              <w:rPr>
                <w:rFonts w:ascii="Cambria Math" w:hAnsi="Cambria Math"/>
                <w:i/>
                <w:sz w:val="22"/>
                <w:szCs w:val="22"/>
                <w:lang w:val="en-US" w:eastAsia="ja-JP"/>
              </w:rPr>
            </m:ctrlPr>
          </m:fPr>
          <m:num>
            <m:r>
              <w:rPr>
                <w:rFonts w:ascii="Cambria Math" w:hAnsi="Cambria Math"/>
                <w:sz w:val="22"/>
                <w:szCs w:val="22"/>
                <w:lang w:val="en-US" w:eastAsia="ja-JP"/>
              </w:rPr>
              <m:t>∆v</m:t>
            </m:r>
          </m:num>
          <m:den>
            <m:r>
              <w:rPr>
                <w:rFonts w:ascii="Cambria Math" w:hAnsi="Cambria Math"/>
                <w:sz w:val="22"/>
                <w:szCs w:val="22"/>
                <w:lang w:val="en-US" w:eastAsia="ja-JP"/>
              </w:rPr>
              <m:t>c</m:t>
            </m:r>
          </m:den>
        </m:f>
      </m:oMath>
      <w:r w:rsidRPr="00D51AB8">
        <w:rPr>
          <w:sz w:val="22"/>
          <w:szCs w:val="22"/>
          <w:lang w:val="en-US" w:eastAsia="ja-JP"/>
        </w:rPr>
        <w:t>.</w:t>
      </w:r>
    </w:p>
    <w:p w:rsidR="002114C1" w:rsidRPr="00D51AB8" w:rsidRDefault="002114C1" w:rsidP="002114C1">
      <w:pPr>
        <w:ind w:right="709"/>
        <w:jc w:val="both"/>
        <w:rPr>
          <w:sz w:val="22"/>
          <w:szCs w:val="22"/>
          <w:lang w:val="en-US" w:eastAsia="ja-JP"/>
        </w:rPr>
      </w:pPr>
      <w:r w:rsidRPr="00D51AB8">
        <w:rPr>
          <w:sz w:val="22"/>
          <w:szCs w:val="22"/>
          <w:lang w:val="en-US" w:eastAsia="ja-JP"/>
        </w:rPr>
        <w:t xml:space="preserve">Since UE speed up to 250km/h and carrier frequency up to 6GHz </w:t>
      </w:r>
      <w:r w:rsidR="0045105A">
        <w:rPr>
          <w:sz w:val="22"/>
          <w:szCs w:val="22"/>
          <w:lang w:val="en-US" w:eastAsia="ja-JP"/>
        </w:rPr>
        <w:t xml:space="preserve">potentially </w:t>
      </w:r>
      <w:r w:rsidRPr="00D51AB8">
        <w:rPr>
          <w:sz w:val="22"/>
          <w:szCs w:val="22"/>
          <w:lang w:val="en-US" w:eastAsia="ja-JP"/>
        </w:rPr>
        <w:t>are to be supported, the Doppler shift experienced is withi</w:t>
      </w:r>
      <w:r w:rsidRPr="002114C1">
        <w:rPr>
          <w:sz w:val="22"/>
          <w:szCs w:val="22"/>
          <w:lang w:val="en-US" w:eastAsia="ja-JP"/>
        </w:rPr>
        <w:t>n ±1.3</w:t>
      </w:r>
      <w:r w:rsidR="0045105A">
        <w:rPr>
          <w:sz w:val="22"/>
          <w:szCs w:val="22"/>
          <w:lang w:val="en-US" w:eastAsia="ja-JP"/>
        </w:rPr>
        <w:t>5</w:t>
      </w:r>
      <w:r w:rsidRPr="002114C1">
        <w:rPr>
          <w:sz w:val="22"/>
          <w:szCs w:val="22"/>
          <w:lang w:val="en-US" w:eastAsia="ja-JP"/>
        </w:rPr>
        <w:t xml:space="preserve"> kHz</w:t>
      </w:r>
      <w:r w:rsidRPr="00D51AB8">
        <w:rPr>
          <w:sz w:val="22"/>
          <w:szCs w:val="22"/>
          <w:lang w:val="en-US" w:eastAsia="ja-JP"/>
        </w:rPr>
        <w:t xml:space="preserve"> when measuring RSRP, provided that the UE does not ha</w:t>
      </w:r>
      <w:r w:rsidR="0045105A">
        <w:rPr>
          <w:sz w:val="22"/>
          <w:szCs w:val="22"/>
          <w:lang w:val="en-US" w:eastAsia="ja-JP"/>
        </w:rPr>
        <w:t xml:space="preserve">ve a </w:t>
      </w:r>
      <w:r w:rsidRPr="00D51AB8">
        <w:rPr>
          <w:sz w:val="22"/>
          <w:szCs w:val="22"/>
          <w:lang w:val="en-US" w:eastAsia="ja-JP"/>
        </w:rPr>
        <w:t>CFO, e.g. when the synchronization source is GNSS</w:t>
      </w:r>
      <w:r>
        <w:rPr>
          <w:sz w:val="22"/>
          <w:szCs w:val="22"/>
          <w:lang w:val="en-US" w:eastAsia="ja-JP"/>
        </w:rPr>
        <w:t xml:space="preserve">; </w:t>
      </w:r>
      <w:r w:rsidRPr="002114C1">
        <w:rPr>
          <w:sz w:val="22"/>
          <w:szCs w:val="22"/>
          <w:lang w:val="en-US" w:eastAsia="ja-JP"/>
        </w:rPr>
        <w:fldChar w:fldCharType="begin"/>
      </w:r>
      <w:r w:rsidRPr="002114C1">
        <w:rPr>
          <w:sz w:val="22"/>
          <w:szCs w:val="22"/>
          <w:lang w:val="en-US" w:eastAsia="ja-JP"/>
        </w:rPr>
        <w:instrText xml:space="preserve"> REF _Ref458763976 \h  \* MERGEFORMAT </w:instrText>
      </w:r>
      <w:r w:rsidRPr="002114C1">
        <w:rPr>
          <w:sz w:val="22"/>
          <w:szCs w:val="22"/>
          <w:lang w:val="en-US" w:eastAsia="ja-JP"/>
        </w:rPr>
      </w:r>
      <w:r w:rsidRPr="002114C1">
        <w:rPr>
          <w:sz w:val="22"/>
          <w:szCs w:val="22"/>
          <w:lang w:val="en-US" w:eastAsia="ja-JP"/>
        </w:rPr>
        <w:fldChar w:fldCharType="separate"/>
      </w:r>
      <w:r w:rsidR="00CB73A7" w:rsidRPr="00B87477">
        <w:rPr>
          <w:sz w:val="22"/>
          <w:szCs w:val="22"/>
          <w:lang w:val="en-US"/>
        </w:rPr>
        <w:t xml:space="preserve">Figure </w:t>
      </w:r>
      <w:r w:rsidR="00CB73A7" w:rsidRPr="00B87477">
        <w:rPr>
          <w:noProof/>
          <w:sz w:val="22"/>
          <w:szCs w:val="22"/>
          <w:lang w:val="en-US"/>
        </w:rPr>
        <w:t>1</w:t>
      </w:r>
      <w:r w:rsidRPr="002114C1">
        <w:rPr>
          <w:sz w:val="22"/>
          <w:szCs w:val="22"/>
          <w:lang w:val="en-US" w:eastAsia="ja-JP"/>
        </w:rPr>
        <w:fldChar w:fldCharType="end"/>
      </w:r>
      <w:r w:rsidRPr="00D51AB8">
        <w:rPr>
          <w:sz w:val="22"/>
          <w:szCs w:val="22"/>
          <w:lang w:val="en-US" w:eastAsia="ja-JP"/>
        </w:rPr>
        <w:t xml:space="preserve">. </w:t>
      </w:r>
    </w:p>
    <w:p w:rsidR="002114C1" w:rsidRPr="00D51AB8" w:rsidRDefault="002114C1" w:rsidP="002114C1">
      <w:pPr>
        <w:rPr>
          <w:lang w:val="en-US" w:eastAsia="ja-JP"/>
        </w:rPr>
      </w:pPr>
    </w:p>
    <w:p w:rsidR="002114C1" w:rsidRPr="00D51AB8" w:rsidRDefault="00B538D5" w:rsidP="002114C1">
      <w:pPr>
        <w:keepNext/>
        <w:jc w:val="center"/>
        <w:rPr>
          <w:lang w:val="en-US"/>
        </w:rPr>
      </w:pPr>
      <w:r w:rsidRPr="00D51AB8">
        <w:rPr>
          <w:lang w:val="en-US"/>
        </w:rPr>
        <w:object w:dxaOrig="6736" w:dyaOrig="3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47.75pt" o:ole="">
            <v:imagedata r:id="rId8" o:title=""/>
          </v:shape>
          <o:OLEObject Type="Embed" ProgID="Visio.Drawing.15" ShapeID="_x0000_i1025" DrawAspect="Content" ObjectID="_1536764803" r:id="rId9"/>
        </w:object>
      </w:r>
    </w:p>
    <w:p w:rsidR="002114C1" w:rsidRPr="00D51AB8" w:rsidRDefault="002114C1" w:rsidP="002114C1">
      <w:pPr>
        <w:pStyle w:val="Caption"/>
        <w:ind w:right="993"/>
        <w:jc w:val="left"/>
        <w:rPr>
          <w:b w:val="0"/>
          <w:lang w:val="en-US"/>
        </w:rPr>
      </w:pPr>
      <w:bookmarkStart w:id="2" w:name="_Ref458763976"/>
      <w:r w:rsidRPr="00D51AB8">
        <w:rPr>
          <w:lang w:val="en-US"/>
        </w:rPr>
        <w:t xml:space="preserve">Figure </w:t>
      </w:r>
      <w:r w:rsidRPr="00D51AB8">
        <w:rPr>
          <w:lang w:val="en-US"/>
        </w:rPr>
        <w:fldChar w:fldCharType="begin"/>
      </w:r>
      <w:r w:rsidRPr="00D51AB8">
        <w:rPr>
          <w:lang w:val="en-US"/>
        </w:rPr>
        <w:instrText xml:space="preserve"> SEQ Figure \* ARABIC </w:instrText>
      </w:r>
      <w:r w:rsidRPr="00D51AB8">
        <w:rPr>
          <w:lang w:val="en-US"/>
        </w:rPr>
        <w:fldChar w:fldCharType="separate"/>
      </w:r>
      <w:r w:rsidR="00CB73A7">
        <w:rPr>
          <w:noProof/>
          <w:lang w:val="en-US"/>
        </w:rPr>
        <w:t>1</w:t>
      </w:r>
      <w:r w:rsidRPr="00D51AB8">
        <w:rPr>
          <w:lang w:val="en-US"/>
        </w:rPr>
        <w:fldChar w:fldCharType="end"/>
      </w:r>
      <w:bookmarkEnd w:id="2"/>
      <w:r w:rsidRPr="00D51AB8">
        <w:rPr>
          <w:lang w:val="en-US"/>
        </w:rPr>
        <w:t>:</w:t>
      </w:r>
      <w:r w:rsidRPr="00D51AB8">
        <w:rPr>
          <w:b w:val="0"/>
          <w:lang w:val="en-US"/>
        </w:rPr>
        <w:t xml:space="preserve"> Maximum</w:t>
      </w:r>
      <w:r w:rsidRPr="00D51AB8">
        <w:rPr>
          <w:lang w:val="en-US"/>
        </w:rPr>
        <w:t xml:space="preserve"> </w:t>
      </w:r>
      <w:r w:rsidRPr="00D51AB8">
        <w:rPr>
          <w:b w:val="0"/>
          <w:lang w:val="en-US"/>
        </w:rPr>
        <w:t>frequency offset between UE reference frequency and target cell when the UE’s synchronization source is GNSS.</w:t>
      </w:r>
    </w:p>
    <w:p w:rsidR="002114C1" w:rsidRPr="00D51AB8" w:rsidRDefault="002114C1" w:rsidP="002114C1">
      <w:pPr>
        <w:rPr>
          <w:lang w:val="en-US" w:eastAsia="ja-JP"/>
        </w:rPr>
      </w:pPr>
    </w:p>
    <w:p w:rsidR="002114C1" w:rsidRPr="002114C1" w:rsidRDefault="002114C1" w:rsidP="00B87477">
      <w:pPr>
        <w:keepNext/>
        <w:jc w:val="center"/>
        <w:rPr>
          <w:sz w:val="22"/>
          <w:szCs w:val="22"/>
          <w:lang w:val="en-US" w:eastAsia="ja-JP"/>
        </w:rPr>
      </w:pPr>
    </w:p>
    <w:p w:rsidR="00404C7A" w:rsidRPr="002114C1" w:rsidRDefault="002114C1" w:rsidP="002114C1">
      <w:pPr>
        <w:tabs>
          <w:tab w:val="left" w:pos="9781"/>
          <w:tab w:val="left" w:pos="10348"/>
        </w:tabs>
        <w:ind w:right="709"/>
        <w:jc w:val="both"/>
        <w:rPr>
          <w:sz w:val="22"/>
          <w:szCs w:val="22"/>
          <w:lang w:val="en-US" w:eastAsia="ja-JP"/>
        </w:rPr>
      </w:pPr>
      <w:r>
        <w:rPr>
          <w:sz w:val="22"/>
          <w:szCs w:val="22"/>
          <w:lang w:val="en-US" w:eastAsia="ja-JP"/>
        </w:rPr>
        <w:t>Since a higher CFO can be expected than in legacy LTE scenarios</w:t>
      </w:r>
      <w:r w:rsidR="00CB73A7">
        <w:rPr>
          <w:sz w:val="22"/>
          <w:szCs w:val="22"/>
          <w:lang w:val="en-US" w:eastAsia="ja-JP"/>
        </w:rPr>
        <w:t xml:space="preserve">, particularly when using another synchronization source than GNSS, </w:t>
      </w:r>
      <w:r>
        <w:rPr>
          <w:sz w:val="22"/>
          <w:szCs w:val="22"/>
          <w:lang w:val="en-US" w:eastAsia="ja-JP"/>
        </w:rPr>
        <w:t xml:space="preserve">it is crucial that the RSRP and RSRQ estimator is robust to </w:t>
      </w:r>
      <w:r w:rsidR="00A81F97">
        <w:rPr>
          <w:sz w:val="22"/>
          <w:szCs w:val="22"/>
          <w:lang w:val="en-US" w:eastAsia="ja-JP"/>
        </w:rPr>
        <w:t>frequency offsets. When measurement performance requirements were derived for LTE legacy the RSRP measurements provided by us were conducted using coherent averaging over 2x4 CRSs. This does however make the RSRP estimator sensitive to CFO since the coherent accumulation is extended over multiple OFDM symbols. Therefor in this contribution we are using a symbol-based RSRP estimator that has been used in commercial legacy products. The two approaches are illustrated in</w:t>
      </w:r>
      <w:r w:rsidR="00A81F97" w:rsidRPr="00A81F97">
        <w:rPr>
          <w:sz w:val="22"/>
          <w:szCs w:val="22"/>
          <w:lang w:val="en-US" w:eastAsia="ja-JP"/>
        </w:rPr>
        <w:t xml:space="preserve"> </w:t>
      </w:r>
      <w:r w:rsidR="00A81F97" w:rsidRPr="00A81F97">
        <w:rPr>
          <w:sz w:val="22"/>
          <w:szCs w:val="22"/>
          <w:lang w:val="en-US" w:eastAsia="ja-JP"/>
        </w:rPr>
        <w:fldChar w:fldCharType="begin"/>
      </w:r>
      <w:r w:rsidR="00A81F97" w:rsidRPr="00A81F97">
        <w:rPr>
          <w:sz w:val="22"/>
          <w:szCs w:val="22"/>
          <w:lang w:val="en-US" w:eastAsia="ja-JP"/>
        </w:rPr>
        <w:instrText xml:space="preserve"> REF _Ref458764430 \h </w:instrText>
      </w:r>
      <w:r w:rsidR="00A81F97">
        <w:rPr>
          <w:sz w:val="22"/>
          <w:szCs w:val="22"/>
          <w:lang w:val="en-US" w:eastAsia="ja-JP"/>
        </w:rPr>
        <w:instrText xml:space="preserve"> \* MERGEFORMAT </w:instrText>
      </w:r>
      <w:r w:rsidR="00A81F97" w:rsidRPr="00A81F97">
        <w:rPr>
          <w:sz w:val="22"/>
          <w:szCs w:val="22"/>
          <w:lang w:val="en-US" w:eastAsia="ja-JP"/>
        </w:rPr>
      </w:r>
      <w:r w:rsidR="00A81F97" w:rsidRPr="00A81F97">
        <w:rPr>
          <w:sz w:val="22"/>
          <w:szCs w:val="22"/>
          <w:lang w:val="en-US" w:eastAsia="ja-JP"/>
        </w:rPr>
        <w:fldChar w:fldCharType="separate"/>
      </w:r>
      <w:r w:rsidR="00CB73A7" w:rsidRPr="00B87477">
        <w:rPr>
          <w:sz w:val="22"/>
          <w:szCs w:val="22"/>
        </w:rPr>
        <w:t xml:space="preserve">Figure </w:t>
      </w:r>
      <w:r w:rsidR="00CB73A7" w:rsidRPr="00B87477">
        <w:rPr>
          <w:noProof/>
          <w:sz w:val="22"/>
          <w:szCs w:val="22"/>
        </w:rPr>
        <w:t>2</w:t>
      </w:r>
      <w:r w:rsidR="00A81F97" w:rsidRPr="00A81F97">
        <w:rPr>
          <w:sz w:val="22"/>
          <w:szCs w:val="22"/>
          <w:lang w:val="en-US" w:eastAsia="ja-JP"/>
        </w:rPr>
        <w:fldChar w:fldCharType="end"/>
      </w:r>
      <w:r w:rsidR="00A81F97">
        <w:rPr>
          <w:sz w:val="22"/>
          <w:szCs w:val="22"/>
          <w:lang w:val="en-US" w:eastAsia="ja-JP"/>
        </w:rPr>
        <w:t>.</w:t>
      </w:r>
    </w:p>
    <w:p w:rsidR="002114C1" w:rsidRDefault="00404C7A" w:rsidP="002114C1">
      <w:pPr>
        <w:keepNext/>
        <w:jc w:val="center"/>
      </w:pPr>
      <w:r w:rsidRPr="00D51AB8">
        <w:rPr>
          <w:lang w:val="en-US"/>
        </w:rPr>
        <w:object w:dxaOrig="4980" w:dyaOrig="3195">
          <v:shape id="_x0000_i1026" type="#_x0000_t75" style="width:248.25pt;height:160.5pt" o:ole="">
            <v:imagedata r:id="rId10" o:title=""/>
          </v:shape>
          <o:OLEObject Type="Embed" ProgID="Visio.Drawing.15" ShapeID="_x0000_i1026" DrawAspect="Content" ObjectID="_1536764804" r:id="rId11"/>
        </w:object>
      </w:r>
    </w:p>
    <w:p w:rsidR="00404C7A" w:rsidRPr="002114C1" w:rsidRDefault="002114C1" w:rsidP="002114C1">
      <w:pPr>
        <w:pStyle w:val="Caption"/>
        <w:ind w:right="993"/>
        <w:jc w:val="left"/>
        <w:rPr>
          <w:b w:val="0"/>
          <w:lang w:val="en-GB"/>
        </w:rPr>
      </w:pPr>
      <w:bookmarkStart w:id="3" w:name="_Ref458764430"/>
      <w:r w:rsidRPr="002114C1">
        <w:rPr>
          <w:lang w:val="en-GB"/>
        </w:rPr>
        <w:t xml:space="preserve">Figure </w:t>
      </w:r>
      <w:r>
        <w:fldChar w:fldCharType="begin"/>
      </w:r>
      <w:r w:rsidRPr="002114C1">
        <w:rPr>
          <w:lang w:val="en-GB"/>
        </w:rPr>
        <w:instrText xml:space="preserve"> SEQ Figure \* ARABIC </w:instrText>
      </w:r>
      <w:r>
        <w:fldChar w:fldCharType="separate"/>
      </w:r>
      <w:r w:rsidR="00CB73A7">
        <w:rPr>
          <w:noProof/>
          <w:lang w:val="en-GB"/>
        </w:rPr>
        <w:t>2</w:t>
      </w:r>
      <w:r>
        <w:fldChar w:fldCharType="end"/>
      </w:r>
      <w:bookmarkEnd w:id="3"/>
      <w:r w:rsidRPr="002114C1">
        <w:rPr>
          <w:lang w:val="en-GB"/>
        </w:rPr>
        <w:t xml:space="preserve">: </w:t>
      </w:r>
      <w:r w:rsidRPr="002114C1">
        <w:rPr>
          <w:b w:val="0"/>
          <w:lang w:val="en-GB"/>
        </w:rPr>
        <w:t xml:space="preserve">Coherent </w:t>
      </w:r>
      <w:r>
        <w:rPr>
          <w:b w:val="0"/>
          <w:lang w:val="en-GB"/>
        </w:rPr>
        <w:t xml:space="preserve">averaging for RSRP measurements. (left): coherent averaging assumed when determining legacy core requirements; (right): symbol-based coherent averaging used in this the simulations. </w:t>
      </w:r>
    </w:p>
    <w:p w:rsidR="002114C1" w:rsidRDefault="002114C1" w:rsidP="002114C1">
      <w:pPr>
        <w:rPr>
          <w:sz w:val="22"/>
          <w:szCs w:val="22"/>
          <w:lang w:eastAsia="ja-JP"/>
        </w:rPr>
      </w:pPr>
    </w:p>
    <w:p w:rsidR="002D469F" w:rsidRDefault="00A81F97" w:rsidP="002D469F">
      <w:pPr>
        <w:ind w:right="709"/>
        <w:jc w:val="both"/>
        <w:rPr>
          <w:sz w:val="22"/>
          <w:szCs w:val="22"/>
          <w:lang w:eastAsia="ja-JP"/>
        </w:rPr>
      </w:pPr>
      <w:r>
        <w:rPr>
          <w:sz w:val="22"/>
          <w:szCs w:val="22"/>
          <w:lang w:eastAsia="ja-JP"/>
        </w:rPr>
        <w:lastRenderedPageBreak/>
        <w:t>The measurement accuracies</w:t>
      </w:r>
      <w:r w:rsidRPr="009D5DA1">
        <w:rPr>
          <w:sz w:val="22"/>
          <w:szCs w:val="22"/>
          <w:lang w:eastAsia="ja-JP"/>
        </w:rPr>
        <w:t xml:space="preserve"> as functi</w:t>
      </w:r>
      <w:r>
        <w:rPr>
          <w:sz w:val="22"/>
          <w:szCs w:val="22"/>
          <w:lang w:eastAsia="ja-JP"/>
        </w:rPr>
        <w:t xml:space="preserve">on of CFO for the two </w:t>
      </w:r>
      <w:r w:rsidRPr="009D5DA1">
        <w:rPr>
          <w:sz w:val="22"/>
          <w:szCs w:val="22"/>
          <w:lang w:eastAsia="ja-JP"/>
        </w:rPr>
        <w:t>RSRP estimator</w:t>
      </w:r>
      <w:r>
        <w:rPr>
          <w:sz w:val="22"/>
          <w:szCs w:val="22"/>
          <w:lang w:eastAsia="ja-JP"/>
        </w:rPr>
        <w:t>s are</w:t>
      </w:r>
      <w:r w:rsidRPr="009D5DA1">
        <w:rPr>
          <w:sz w:val="22"/>
          <w:szCs w:val="22"/>
          <w:lang w:eastAsia="ja-JP"/>
        </w:rPr>
        <w:t xml:space="preserve"> shown in</w:t>
      </w:r>
      <w:r>
        <w:rPr>
          <w:sz w:val="22"/>
          <w:szCs w:val="22"/>
          <w:lang w:eastAsia="ja-JP"/>
        </w:rPr>
        <w:t xml:space="preserve"> </w:t>
      </w:r>
      <w:r w:rsidRPr="00A81F97">
        <w:rPr>
          <w:sz w:val="22"/>
          <w:szCs w:val="22"/>
          <w:lang w:eastAsia="ja-JP"/>
        </w:rPr>
        <w:fldChar w:fldCharType="begin"/>
      </w:r>
      <w:r w:rsidRPr="00A81F97">
        <w:rPr>
          <w:sz w:val="22"/>
          <w:szCs w:val="22"/>
          <w:lang w:eastAsia="ja-JP"/>
        </w:rPr>
        <w:instrText xml:space="preserve"> REF _Ref458764730 \h </w:instrText>
      </w:r>
      <w:r>
        <w:rPr>
          <w:sz w:val="22"/>
          <w:szCs w:val="22"/>
          <w:lang w:eastAsia="ja-JP"/>
        </w:rPr>
        <w:instrText xml:space="preserve"> \* MERGEFORMAT </w:instrText>
      </w:r>
      <w:r w:rsidRPr="00A81F97">
        <w:rPr>
          <w:sz w:val="22"/>
          <w:szCs w:val="22"/>
          <w:lang w:eastAsia="ja-JP"/>
        </w:rPr>
      </w:r>
      <w:r w:rsidRPr="00A81F97">
        <w:rPr>
          <w:sz w:val="22"/>
          <w:szCs w:val="22"/>
          <w:lang w:eastAsia="ja-JP"/>
        </w:rPr>
        <w:fldChar w:fldCharType="separate"/>
      </w:r>
      <w:r w:rsidR="00CB73A7" w:rsidRPr="00B87477">
        <w:rPr>
          <w:sz w:val="22"/>
          <w:szCs w:val="22"/>
          <w:lang w:val="en-US"/>
        </w:rPr>
        <w:t xml:space="preserve">Figure </w:t>
      </w:r>
      <w:r w:rsidR="00CB73A7" w:rsidRPr="00B87477">
        <w:rPr>
          <w:noProof/>
          <w:sz w:val="22"/>
          <w:szCs w:val="22"/>
          <w:lang w:val="en-US"/>
        </w:rPr>
        <w:t>3</w:t>
      </w:r>
      <w:r w:rsidRPr="00A81F97">
        <w:rPr>
          <w:sz w:val="22"/>
          <w:szCs w:val="22"/>
          <w:lang w:eastAsia="ja-JP"/>
        </w:rPr>
        <w:fldChar w:fldCharType="end"/>
      </w:r>
      <w:r w:rsidRPr="009D5DA1">
        <w:rPr>
          <w:sz w:val="22"/>
          <w:szCs w:val="22"/>
          <w:lang w:eastAsia="ja-JP"/>
        </w:rPr>
        <w:t>. The SNR is 0 dB</w:t>
      </w:r>
      <w:r>
        <w:rPr>
          <w:sz w:val="22"/>
          <w:szCs w:val="22"/>
          <w:lang w:eastAsia="ja-JP"/>
        </w:rPr>
        <w:t xml:space="preserve"> which means that ideally the </w:t>
      </w:r>
      <w:r w:rsidRPr="009D5DA1">
        <w:rPr>
          <w:sz w:val="22"/>
          <w:szCs w:val="22"/>
          <w:lang w:eastAsia="ja-JP"/>
        </w:rPr>
        <w:t xml:space="preserve">RSRP/N should also be 0 dB. However, due to averaging coherently over a finite number of channel samples – </w:t>
      </w:r>
      <w:r>
        <w:rPr>
          <w:sz w:val="22"/>
          <w:szCs w:val="22"/>
          <w:lang w:eastAsia="ja-JP"/>
        </w:rPr>
        <w:t xml:space="preserve">8 and </w:t>
      </w:r>
      <w:r w:rsidRPr="009D5DA1">
        <w:rPr>
          <w:sz w:val="22"/>
          <w:szCs w:val="22"/>
          <w:lang w:eastAsia="ja-JP"/>
        </w:rPr>
        <w:t>12</w:t>
      </w:r>
      <w:r>
        <w:rPr>
          <w:sz w:val="22"/>
          <w:szCs w:val="22"/>
          <w:lang w:eastAsia="ja-JP"/>
        </w:rPr>
        <w:t>, respectively</w:t>
      </w:r>
      <w:r w:rsidRPr="009D5DA1">
        <w:rPr>
          <w:sz w:val="22"/>
          <w:szCs w:val="22"/>
          <w:lang w:eastAsia="ja-JP"/>
        </w:rPr>
        <w:t xml:space="preserve"> – some noise remains after the averaging and gives rise to bias.</w:t>
      </w:r>
      <w:r>
        <w:rPr>
          <w:sz w:val="22"/>
          <w:szCs w:val="22"/>
          <w:lang w:eastAsia="ja-JP"/>
        </w:rPr>
        <w:t xml:space="preserve"> </w:t>
      </w:r>
      <w:r w:rsidRPr="009D5DA1">
        <w:rPr>
          <w:sz w:val="22"/>
          <w:szCs w:val="22"/>
          <w:lang w:eastAsia="ja-JP"/>
        </w:rPr>
        <w:t>In this case the bias</w:t>
      </w:r>
      <w:r w:rsidR="002D469F">
        <w:rPr>
          <w:sz w:val="22"/>
          <w:szCs w:val="22"/>
          <w:lang w:eastAsia="ja-JP"/>
        </w:rPr>
        <w:t xml:space="preserve"> for both RSRP estimators</w:t>
      </w:r>
      <w:r w:rsidRPr="009D5DA1">
        <w:rPr>
          <w:sz w:val="22"/>
          <w:szCs w:val="22"/>
          <w:lang w:eastAsia="ja-JP"/>
        </w:rPr>
        <w:t xml:space="preserve"> is less than 0.5 dB for the 50</w:t>
      </w:r>
      <w:r w:rsidRPr="009D5DA1">
        <w:rPr>
          <w:sz w:val="22"/>
          <w:szCs w:val="22"/>
          <w:vertAlign w:val="superscript"/>
          <w:lang w:eastAsia="ja-JP"/>
        </w:rPr>
        <w:t>th</w:t>
      </w:r>
      <w:r>
        <w:rPr>
          <w:sz w:val="22"/>
          <w:szCs w:val="22"/>
          <w:lang w:eastAsia="ja-JP"/>
        </w:rPr>
        <w:t xml:space="preserve"> percentile when </w:t>
      </w:r>
      <w:r w:rsidR="002D469F">
        <w:rPr>
          <w:sz w:val="22"/>
          <w:szCs w:val="22"/>
          <w:lang w:eastAsia="ja-JP"/>
        </w:rPr>
        <w:t>CFO is 0 Hz.</w:t>
      </w:r>
      <w:r w:rsidRPr="009D5DA1">
        <w:rPr>
          <w:sz w:val="22"/>
          <w:szCs w:val="22"/>
          <w:lang w:eastAsia="ja-JP"/>
        </w:rPr>
        <w:t xml:space="preserve"> </w:t>
      </w:r>
      <w:r w:rsidR="002D469F">
        <w:rPr>
          <w:sz w:val="22"/>
          <w:szCs w:val="22"/>
          <w:lang w:eastAsia="ja-JP"/>
        </w:rPr>
        <w:t xml:space="preserve">However as the CFO increases it becomes evident that the legacy estimator is very sensitive to frequency offsets, whereas the symbol-based RSRP estimator is more robust; </w:t>
      </w:r>
      <w:r w:rsidR="002D469F" w:rsidRPr="00B87477">
        <w:rPr>
          <w:sz w:val="22"/>
          <w:szCs w:val="22"/>
          <w:lang w:eastAsia="ja-JP"/>
        </w:rPr>
        <w:t xml:space="preserve">see </w:t>
      </w:r>
      <w:r w:rsidR="002D469F" w:rsidRPr="00B87477">
        <w:rPr>
          <w:sz w:val="22"/>
          <w:szCs w:val="22"/>
          <w:lang w:eastAsia="ja-JP"/>
        </w:rPr>
        <w:fldChar w:fldCharType="begin"/>
      </w:r>
      <w:r w:rsidR="002D469F" w:rsidRPr="00B87477">
        <w:rPr>
          <w:sz w:val="22"/>
          <w:szCs w:val="22"/>
          <w:lang w:eastAsia="ja-JP"/>
        </w:rPr>
        <w:instrText xml:space="preserve"> REF _Ref458764730 \h </w:instrText>
      </w:r>
      <w:r w:rsidR="00CB73A7">
        <w:rPr>
          <w:sz w:val="22"/>
          <w:szCs w:val="22"/>
          <w:lang w:eastAsia="ja-JP"/>
        </w:rPr>
        <w:instrText xml:space="preserve"> \* MERGEFORMAT </w:instrText>
      </w:r>
      <w:r w:rsidR="002D469F" w:rsidRPr="00B87477">
        <w:rPr>
          <w:sz w:val="22"/>
          <w:szCs w:val="22"/>
          <w:lang w:eastAsia="ja-JP"/>
        </w:rPr>
      </w:r>
      <w:r w:rsidR="002D469F" w:rsidRPr="00B87477">
        <w:rPr>
          <w:sz w:val="22"/>
          <w:szCs w:val="22"/>
          <w:lang w:eastAsia="ja-JP"/>
        </w:rPr>
        <w:fldChar w:fldCharType="separate"/>
      </w:r>
      <w:r w:rsidR="00CB73A7" w:rsidRPr="00B87477">
        <w:rPr>
          <w:sz w:val="22"/>
          <w:szCs w:val="22"/>
          <w:lang w:val="en-US"/>
        </w:rPr>
        <w:t xml:space="preserve">Figure </w:t>
      </w:r>
      <w:r w:rsidR="00CB73A7" w:rsidRPr="00B87477">
        <w:rPr>
          <w:noProof/>
          <w:sz w:val="22"/>
          <w:szCs w:val="22"/>
          <w:lang w:val="en-US"/>
        </w:rPr>
        <w:t>3</w:t>
      </w:r>
      <w:r w:rsidR="002D469F" w:rsidRPr="00B87477">
        <w:rPr>
          <w:sz w:val="22"/>
          <w:szCs w:val="22"/>
          <w:lang w:eastAsia="ja-JP"/>
        </w:rPr>
        <w:fldChar w:fldCharType="end"/>
      </w:r>
      <w:r w:rsidR="002D469F">
        <w:rPr>
          <w:sz w:val="22"/>
          <w:szCs w:val="22"/>
          <w:lang w:eastAsia="ja-JP"/>
        </w:rPr>
        <w:t xml:space="preserve">. At a CFO of </w:t>
      </w:r>
      <w:r w:rsidR="00620E2F">
        <w:rPr>
          <w:sz w:val="22"/>
          <w:szCs w:val="22"/>
          <w:lang w:eastAsia="ja-JP"/>
        </w:rPr>
        <w:t>1</w:t>
      </w:r>
      <w:r w:rsidR="002D469F">
        <w:rPr>
          <w:sz w:val="22"/>
          <w:szCs w:val="22"/>
          <w:lang w:eastAsia="ja-JP"/>
        </w:rPr>
        <w:t>.</w:t>
      </w:r>
      <w:r w:rsidR="00620E2F">
        <w:rPr>
          <w:sz w:val="22"/>
          <w:szCs w:val="22"/>
          <w:lang w:eastAsia="ja-JP"/>
        </w:rPr>
        <w:t>3</w:t>
      </w:r>
      <w:r w:rsidR="002D469F">
        <w:rPr>
          <w:sz w:val="22"/>
          <w:szCs w:val="22"/>
          <w:lang w:eastAsia="ja-JP"/>
        </w:rPr>
        <w:t xml:space="preserve">5 kHz the symbol-based RSRP estimator has degraded </w:t>
      </w:r>
      <w:r w:rsidR="00620E2F">
        <w:rPr>
          <w:sz w:val="22"/>
          <w:szCs w:val="22"/>
          <w:lang w:eastAsia="ja-JP"/>
        </w:rPr>
        <w:t>less</w:t>
      </w:r>
      <w:r w:rsidR="002D469F">
        <w:rPr>
          <w:sz w:val="22"/>
          <w:szCs w:val="22"/>
          <w:lang w:eastAsia="ja-JP"/>
        </w:rPr>
        <w:t xml:space="preserve"> </w:t>
      </w:r>
      <w:r w:rsidR="00620E2F">
        <w:rPr>
          <w:sz w:val="22"/>
          <w:szCs w:val="22"/>
          <w:lang w:eastAsia="ja-JP"/>
        </w:rPr>
        <w:t>than 0.5</w:t>
      </w:r>
      <w:r w:rsidR="002D469F">
        <w:rPr>
          <w:sz w:val="22"/>
          <w:szCs w:val="22"/>
          <w:lang w:eastAsia="ja-JP"/>
        </w:rPr>
        <w:t>dB compared to the case when CFO is 0 Hz.</w:t>
      </w:r>
    </w:p>
    <w:p w:rsidR="002D469F" w:rsidRPr="002D469F" w:rsidRDefault="002D469F" w:rsidP="002D469F">
      <w:pPr>
        <w:rPr>
          <w:sz w:val="22"/>
          <w:szCs w:val="22"/>
          <w:lang w:val="en-US" w:eastAsia="ja-JP"/>
        </w:rPr>
      </w:pPr>
      <w:r w:rsidRPr="002D469F">
        <w:rPr>
          <w:b/>
          <w:sz w:val="22"/>
          <w:szCs w:val="22"/>
          <w:lang w:val="en-US" w:eastAsia="ja-JP"/>
        </w:rPr>
        <w:t>Observation 1:</w:t>
      </w:r>
      <w:r>
        <w:rPr>
          <w:b/>
          <w:sz w:val="22"/>
          <w:szCs w:val="22"/>
          <w:lang w:val="en-US" w:eastAsia="ja-JP"/>
        </w:rPr>
        <w:t xml:space="preserve"> </w:t>
      </w:r>
      <w:r>
        <w:rPr>
          <w:sz w:val="22"/>
          <w:szCs w:val="22"/>
          <w:lang w:val="en-US" w:eastAsia="ja-JP"/>
        </w:rPr>
        <w:t>A symbol-based RSRP estimator is robust to CFOs in the range foreseen for V2</w:t>
      </w:r>
      <w:r w:rsidR="00866FE7">
        <w:rPr>
          <w:sz w:val="22"/>
          <w:szCs w:val="22"/>
          <w:lang w:val="en-US" w:eastAsia="ja-JP"/>
        </w:rPr>
        <w:t>X</w:t>
      </w:r>
      <w:r>
        <w:rPr>
          <w:sz w:val="22"/>
          <w:szCs w:val="22"/>
          <w:lang w:val="en-US" w:eastAsia="ja-JP"/>
        </w:rPr>
        <w:t xml:space="preserve"> operation.</w:t>
      </w:r>
    </w:p>
    <w:p w:rsidR="002D469F" w:rsidRPr="002D469F" w:rsidRDefault="002D469F" w:rsidP="002D469F">
      <w:pPr>
        <w:ind w:right="709"/>
        <w:jc w:val="both"/>
        <w:rPr>
          <w:sz w:val="22"/>
          <w:szCs w:val="22"/>
          <w:lang w:val="en-US" w:eastAsia="ja-JP"/>
        </w:rPr>
      </w:pPr>
    </w:p>
    <w:p w:rsidR="00E96A28" w:rsidRPr="00D51AB8" w:rsidRDefault="00E96A28" w:rsidP="00E96A28">
      <w:pPr>
        <w:keepNext/>
        <w:jc w:val="center"/>
        <w:rPr>
          <w:lang w:val="en-US"/>
        </w:rPr>
      </w:pPr>
      <w:r w:rsidRPr="00D51AB8">
        <w:rPr>
          <w:noProof/>
          <w:lang w:val="sv-SE" w:eastAsia="zh-CN"/>
        </w:rPr>
        <w:drawing>
          <wp:inline distT="0" distB="0" distL="0" distR="0" wp14:anchorId="3DFBDDC1" wp14:editId="027703F1">
            <wp:extent cx="3279600" cy="245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279600" cy="2458800"/>
                    </a:xfrm>
                    <a:prstGeom prst="rect">
                      <a:avLst/>
                    </a:prstGeom>
                  </pic:spPr>
                </pic:pic>
              </a:graphicData>
            </a:graphic>
          </wp:inline>
        </w:drawing>
      </w:r>
      <w:r w:rsidRPr="00D51AB8">
        <w:rPr>
          <w:noProof/>
          <w:lang w:val="sv-SE" w:eastAsia="zh-CN"/>
        </w:rPr>
        <w:drawing>
          <wp:inline distT="0" distB="0" distL="0" distR="0" wp14:anchorId="2ADEEB53" wp14:editId="44F6A087">
            <wp:extent cx="3283200" cy="245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283200" cy="2458800"/>
                    </a:xfrm>
                    <a:prstGeom prst="rect">
                      <a:avLst/>
                    </a:prstGeom>
                  </pic:spPr>
                </pic:pic>
              </a:graphicData>
            </a:graphic>
          </wp:inline>
        </w:drawing>
      </w:r>
    </w:p>
    <w:p w:rsidR="00E96A28" w:rsidRPr="00D51AB8" w:rsidRDefault="00E96A28" w:rsidP="00E96A28">
      <w:pPr>
        <w:pStyle w:val="Caption"/>
        <w:jc w:val="left"/>
        <w:rPr>
          <w:b w:val="0"/>
          <w:lang w:val="en-US"/>
        </w:rPr>
      </w:pPr>
      <w:bookmarkStart w:id="4" w:name="_Ref458764730"/>
      <w:r w:rsidRPr="00D51AB8">
        <w:rPr>
          <w:lang w:val="en-US"/>
        </w:rPr>
        <w:t xml:space="preserve">Figure </w:t>
      </w:r>
      <w:r w:rsidRPr="00D51AB8">
        <w:rPr>
          <w:lang w:val="en-US"/>
        </w:rPr>
        <w:fldChar w:fldCharType="begin"/>
      </w:r>
      <w:r w:rsidRPr="00D51AB8">
        <w:rPr>
          <w:lang w:val="en-US"/>
        </w:rPr>
        <w:instrText xml:space="preserve"> SEQ Figure \* ARABIC </w:instrText>
      </w:r>
      <w:r w:rsidRPr="00D51AB8">
        <w:rPr>
          <w:lang w:val="en-US"/>
        </w:rPr>
        <w:fldChar w:fldCharType="separate"/>
      </w:r>
      <w:r w:rsidR="00CB73A7">
        <w:rPr>
          <w:noProof/>
          <w:lang w:val="en-US"/>
        </w:rPr>
        <w:t>3</w:t>
      </w:r>
      <w:r w:rsidRPr="00D51AB8">
        <w:rPr>
          <w:lang w:val="en-US"/>
        </w:rPr>
        <w:fldChar w:fldCharType="end"/>
      </w:r>
      <w:bookmarkEnd w:id="4"/>
      <w:r w:rsidRPr="00D51AB8">
        <w:rPr>
          <w:lang w:val="en-US"/>
        </w:rPr>
        <w:t>:</w:t>
      </w:r>
      <w:r w:rsidRPr="00D51AB8">
        <w:rPr>
          <w:b w:val="0"/>
          <w:lang w:val="en-US"/>
        </w:rPr>
        <w:t xml:space="preserve"> Impact of frequency offset</w:t>
      </w:r>
      <w:r w:rsidR="002C362C" w:rsidRPr="00D51AB8">
        <w:rPr>
          <w:b w:val="0"/>
          <w:lang w:val="en-US"/>
        </w:rPr>
        <w:t>s in the range -7.5 to 7.5 kHz</w:t>
      </w:r>
      <w:r w:rsidRPr="00D51AB8">
        <w:rPr>
          <w:b w:val="0"/>
          <w:lang w:val="en-US"/>
        </w:rPr>
        <w:t xml:space="preserve"> on RSRP estimate</w:t>
      </w:r>
      <w:r w:rsidR="002C362C" w:rsidRPr="00D51AB8">
        <w:rPr>
          <w:b w:val="0"/>
          <w:lang w:val="en-US"/>
        </w:rPr>
        <w:t>s</w:t>
      </w:r>
      <w:r w:rsidRPr="00D51AB8">
        <w:rPr>
          <w:b w:val="0"/>
          <w:lang w:val="en-US"/>
        </w:rPr>
        <w:t xml:space="preserve"> for (left): legacy RSRP measurement (2x4), and (right): symbol-based RSRP measurement. Propagation condition: AWGN, SNR 0 dB.</w:t>
      </w:r>
      <w:r w:rsidR="002C362C" w:rsidRPr="00D51AB8">
        <w:rPr>
          <w:b w:val="0"/>
          <w:lang w:val="en-US"/>
        </w:rPr>
        <w:t xml:space="preserve"> Percentiles: 5</w:t>
      </w:r>
      <w:r w:rsidR="002C362C" w:rsidRPr="00D51AB8">
        <w:rPr>
          <w:b w:val="0"/>
          <w:vertAlign w:val="superscript"/>
          <w:lang w:val="en-US"/>
        </w:rPr>
        <w:t>th</w:t>
      </w:r>
      <w:r w:rsidR="002C362C" w:rsidRPr="00D51AB8">
        <w:rPr>
          <w:b w:val="0"/>
          <w:lang w:val="en-US"/>
        </w:rPr>
        <w:t>, 50</w:t>
      </w:r>
      <w:r w:rsidR="002C362C" w:rsidRPr="00D51AB8">
        <w:rPr>
          <w:b w:val="0"/>
          <w:vertAlign w:val="superscript"/>
          <w:lang w:val="en-US"/>
        </w:rPr>
        <w:t>th</w:t>
      </w:r>
      <w:r w:rsidR="002C362C" w:rsidRPr="00D51AB8">
        <w:rPr>
          <w:b w:val="0"/>
          <w:lang w:val="en-US"/>
        </w:rPr>
        <w:t xml:space="preserve"> and 95</w:t>
      </w:r>
      <w:r w:rsidR="002C362C" w:rsidRPr="00D51AB8">
        <w:rPr>
          <w:b w:val="0"/>
          <w:vertAlign w:val="superscript"/>
          <w:lang w:val="en-US"/>
        </w:rPr>
        <w:t>th</w:t>
      </w:r>
      <w:r w:rsidR="002C362C" w:rsidRPr="00D51AB8">
        <w:rPr>
          <w:b w:val="0"/>
          <w:lang w:val="en-US"/>
        </w:rPr>
        <w:t>.</w:t>
      </w:r>
    </w:p>
    <w:p w:rsidR="002D469F" w:rsidRDefault="002D469F" w:rsidP="002D469F">
      <w:pPr>
        <w:ind w:right="709"/>
        <w:rPr>
          <w:sz w:val="22"/>
          <w:szCs w:val="22"/>
          <w:lang w:val="en-US" w:eastAsia="ja-JP"/>
        </w:rPr>
      </w:pPr>
    </w:p>
    <w:p w:rsidR="002C362C" w:rsidRPr="002D469F" w:rsidRDefault="002D469F" w:rsidP="002D469F">
      <w:pPr>
        <w:ind w:right="709"/>
        <w:jc w:val="both"/>
        <w:rPr>
          <w:sz w:val="22"/>
          <w:szCs w:val="22"/>
          <w:lang w:val="en-US" w:eastAsia="ja-JP"/>
        </w:rPr>
      </w:pPr>
      <w:r w:rsidRPr="002D469F">
        <w:rPr>
          <w:sz w:val="22"/>
          <w:szCs w:val="22"/>
          <w:lang w:val="en-US" w:eastAsia="ja-JP"/>
        </w:rPr>
        <w:t xml:space="preserve">Although </w:t>
      </w:r>
      <w:r>
        <w:rPr>
          <w:sz w:val="22"/>
          <w:szCs w:val="22"/>
          <w:lang w:val="en-US" w:eastAsia="ja-JP"/>
        </w:rPr>
        <w:t>the symbol-based RSRP estimator is robust to very large carrier frequency offsets one still need to consider the case when the UE has determined that it now is in the coverage of RAN, and shall select the detected cell. In order to do so</w:t>
      </w:r>
      <w:r w:rsidR="00F0036E">
        <w:rPr>
          <w:sz w:val="22"/>
          <w:szCs w:val="22"/>
          <w:lang w:val="en-US" w:eastAsia="ja-JP"/>
        </w:rPr>
        <w:t>,</w:t>
      </w:r>
      <w:r>
        <w:rPr>
          <w:sz w:val="22"/>
          <w:szCs w:val="22"/>
          <w:lang w:val="en-US" w:eastAsia="ja-JP"/>
        </w:rPr>
        <w:t xml:space="preserve"> the UE needs to tune in to the RAN carrier frequency to within about ±100Hz in order to acquire MIB, SIB1 and SIB2. This implies that the UE need to accurately determine the CFO and compensate for it. </w:t>
      </w:r>
      <w:r w:rsidR="002C362C" w:rsidRPr="002D469F">
        <w:rPr>
          <w:sz w:val="22"/>
          <w:szCs w:val="22"/>
          <w:lang w:val="en-US" w:eastAsia="ja-JP"/>
        </w:rPr>
        <w:t xml:space="preserve">The general principle for frequency offset estimation used in AFC is based on first determining the phase difference between channel samples taken at two instants in time. The rotation </w:t>
      </w:r>
      <w:r w:rsidR="002C362C" w:rsidRPr="002D469F">
        <w:rPr>
          <w:i/>
          <w:sz w:val="22"/>
          <w:szCs w:val="22"/>
          <w:lang w:val="en-US" w:eastAsia="ja-JP"/>
        </w:rPr>
        <w:t>θ</w:t>
      </w:r>
      <w:r w:rsidR="002C362C" w:rsidRPr="002D469F">
        <w:rPr>
          <w:sz w:val="22"/>
          <w:szCs w:val="22"/>
          <w:lang w:val="en-US" w:eastAsia="ja-JP"/>
        </w:rPr>
        <w:t xml:space="preserve"> in radians over the time Δ</w:t>
      </w:r>
      <w:r w:rsidR="002C362C" w:rsidRPr="002D469F">
        <w:rPr>
          <w:i/>
          <w:sz w:val="22"/>
          <w:szCs w:val="22"/>
          <w:lang w:val="en-US" w:eastAsia="ja-JP"/>
        </w:rPr>
        <w:t xml:space="preserve">t </w:t>
      </w:r>
      <w:r w:rsidR="002C362C" w:rsidRPr="002D469F">
        <w:rPr>
          <w:sz w:val="22"/>
          <w:szCs w:val="22"/>
          <w:lang w:val="en-US" w:eastAsia="ja-JP"/>
        </w:rPr>
        <w:t xml:space="preserve">can then be used to determine the frequency offset </w:t>
      </w:r>
      <m:oMath>
        <m:r>
          <w:rPr>
            <w:rFonts w:ascii="Cambria Math" w:hAnsi="Cambria Math"/>
            <w:sz w:val="22"/>
            <w:szCs w:val="22"/>
            <w:lang w:val="en-US" w:eastAsia="ja-JP"/>
          </w:rPr>
          <m:t>∆</m:t>
        </m:r>
        <m:acc>
          <m:accPr>
            <m:ctrlPr>
              <w:rPr>
                <w:rFonts w:ascii="Cambria Math" w:hAnsi="Cambria Math"/>
                <w:i/>
                <w:sz w:val="22"/>
                <w:szCs w:val="22"/>
                <w:lang w:val="en-US" w:eastAsia="ja-JP"/>
              </w:rPr>
            </m:ctrlPr>
          </m:accPr>
          <m:e>
            <m:r>
              <w:rPr>
                <w:rFonts w:ascii="Cambria Math" w:hAnsi="Cambria Math"/>
                <w:sz w:val="22"/>
                <w:szCs w:val="22"/>
                <w:lang w:val="en-US" w:eastAsia="ja-JP"/>
              </w:rPr>
              <m:t>f</m:t>
            </m:r>
          </m:e>
        </m:acc>
      </m:oMath>
      <w:r w:rsidR="002C362C" w:rsidRPr="002D469F">
        <w:rPr>
          <w:i/>
          <w:sz w:val="22"/>
          <w:szCs w:val="22"/>
          <w:lang w:val="en-US" w:eastAsia="ja-JP"/>
        </w:rPr>
        <w:t xml:space="preserve"> </w:t>
      </w:r>
      <w:r w:rsidR="002C362C" w:rsidRPr="002D469F">
        <w:rPr>
          <w:sz w:val="22"/>
          <w:szCs w:val="22"/>
          <w:lang w:val="en-US" w:eastAsia="ja-JP"/>
        </w:rPr>
        <w:t>via</w:t>
      </w:r>
    </w:p>
    <w:p w:rsidR="002C362C" w:rsidRPr="00D51AB8" w:rsidRDefault="002C362C" w:rsidP="002D469F">
      <w:pPr>
        <w:ind w:right="709"/>
        <w:jc w:val="center"/>
        <w:rPr>
          <w:sz w:val="22"/>
          <w:szCs w:val="22"/>
          <w:lang w:val="en-US" w:eastAsia="ja-JP"/>
        </w:rPr>
      </w:pPr>
      <m:oMath>
        <m:r>
          <w:rPr>
            <w:rFonts w:ascii="Cambria Math" w:hAnsi="Cambria Math"/>
            <w:sz w:val="22"/>
            <w:szCs w:val="22"/>
            <w:lang w:val="en-US" w:eastAsia="ja-JP"/>
          </w:rPr>
          <m:t>∆</m:t>
        </m:r>
        <m:acc>
          <m:accPr>
            <m:ctrlPr>
              <w:rPr>
                <w:rFonts w:ascii="Cambria Math" w:hAnsi="Cambria Math"/>
                <w:i/>
                <w:sz w:val="22"/>
                <w:szCs w:val="22"/>
                <w:lang w:val="en-US" w:eastAsia="ja-JP"/>
              </w:rPr>
            </m:ctrlPr>
          </m:accPr>
          <m:e>
            <m:r>
              <w:rPr>
                <w:rFonts w:ascii="Cambria Math" w:hAnsi="Cambria Math"/>
                <w:sz w:val="22"/>
                <w:szCs w:val="22"/>
                <w:lang w:val="en-US" w:eastAsia="ja-JP"/>
              </w:rPr>
              <m:t>f</m:t>
            </m:r>
          </m:e>
        </m:acc>
        <m:r>
          <w:rPr>
            <w:rFonts w:ascii="Cambria Math" w:hAnsi="Cambria Math"/>
            <w:sz w:val="22"/>
            <w:szCs w:val="22"/>
            <w:lang w:val="en-US" w:eastAsia="ja-JP"/>
          </w:rPr>
          <m:t>=</m:t>
        </m:r>
        <m:f>
          <m:fPr>
            <m:ctrlPr>
              <w:rPr>
                <w:rFonts w:ascii="Cambria Math" w:hAnsi="Cambria Math"/>
                <w:i/>
                <w:sz w:val="22"/>
                <w:szCs w:val="22"/>
                <w:lang w:val="en-US" w:eastAsia="ja-JP"/>
              </w:rPr>
            </m:ctrlPr>
          </m:fPr>
          <m:num>
            <m:r>
              <w:rPr>
                <w:rFonts w:ascii="Cambria Math" w:hAnsi="Cambria Math"/>
                <w:sz w:val="22"/>
                <w:szCs w:val="22"/>
                <w:lang w:val="en-US" w:eastAsia="ja-JP"/>
              </w:rPr>
              <m:t>θ</m:t>
            </m:r>
          </m:num>
          <m:den>
            <m:r>
              <w:rPr>
                <w:rFonts w:ascii="Cambria Math" w:hAnsi="Cambria Math"/>
                <w:sz w:val="22"/>
                <w:szCs w:val="22"/>
                <w:lang w:val="en-US" w:eastAsia="ja-JP"/>
              </w:rPr>
              <m:t>2π∆t</m:t>
            </m:r>
          </m:den>
        </m:f>
      </m:oMath>
      <w:r w:rsidRPr="00D51AB8">
        <w:rPr>
          <w:sz w:val="22"/>
          <w:szCs w:val="22"/>
          <w:lang w:val="en-US" w:eastAsia="ja-JP"/>
        </w:rPr>
        <w:t>.</w:t>
      </w:r>
    </w:p>
    <w:p w:rsidR="00620E2F" w:rsidRDefault="002C362C" w:rsidP="002D469F">
      <w:pPr>
        <w:ind w:right="709"/>
        <w:jc w:val="both"/>
        <w:rPr>
          <w:sz w:val="22"/>
          <w:szCs w:val="22"/>
          <w:lang w:val="en-US" w:eastAsia="ja-JP"/>
        </w:rPr>
      </w:pPr>
      <w:r w:rsidRPr="00D51AB8">
        <w:rPr>
          <w:sz w:val="22"/>
          <w:szCs w:val="22"/>
          <w:lang w:val="en-US" w:eastAsia="ja-JP"/>
        </w:rPr>
        <w:t>The frequency offset estimate is only unambiguous when -</w:t>
      </w:r>
      <w:r w:rsidRPr="00D51AB8">
        <w:rPr>
          <w:i/>
          <w:sz w:val="22"/>
          <w:szCs w:val="22"/>
          <w:lang w:val="en-US" w:eastAsia="ja-JP"/>
        </w:rPr>
        <w:t xml:space="preserve">π </w:t>
      </w:r>
      <w:r w:rsidRPr="00D51AB8">
        <w:rPr>
          <w:sz w:val="22"/>
          <w:szCs w:val="22"/>
          <w:lang w:val="en-US" w:eastAsia="ja-JP"/>
        </w:rPr>
        <w:t xml:space="preserve">&lt; </w:t>
      </w:r>
      <w:r w:rsidRPr="00D51AB8">
        <w:rPr>
          <w:i/>
          <w:sz w:val="22"/>
          <w:szCs w:val="22"/>
          <w:lang w:val="en-US" w:eastAsia="ja-JP"/>
        </w:rPr>
        <w:t>θ &lt; π</w:t>
      </w:r>
      <w:r w:rsidRPr="00D51AB8">
        <w:rPr>
          <w:sz w:val="22"/>
          <w:szCs w:val="22"/>
          <w:lang w:val="en-US" w:eastAsia="ja-JP"/>
        </w:rPr>
        <w:t xml:space="preserve">, hence the smaller the </w:t>
      </w:r>
      <m:oMath>
        <m:r>
          <w:rPr>
            <w:rFonts w:ascii="Cambria Math" w:hAnsi="Cambria Math"/>
            <w:sz w:val="22"/>
            <w:szCs w:val="22"/>
            <w:lang w:val="en-US" w:eastAsia="ja-JP"/>
          </w:rPr>
          <m:t>∆t</m:t>
        </m:r>
      </m:oMath>
      <w:r w:rsidRPr="00D51AB8">
        <w:rPr>
          <w:sz w:val="22"/>
          <w:szCs w:val="22"/>
          <w:lang w:val="en-US" w:eastAsia="ja-JP"/>
        </w:rPr>
        <w:t xml:space="preserve"> between the two instants, the larger frequency offset can be detected without ambiguity. If </w:t>
      </w:r>
      <w:r w:rsidRPr="00D51AB8">
        <w:rPr>
          <w:i/>
          <w:sz w:val="22"/>
          <w:szCs w:val="22"/>
          <w:lang w:val="en-US" w:eastAsia="ja-JP"/>
        </w:rPr>
        <w:t>θ</w:t>
      </w:r>
      <w:r w:rsidRPr="00D51AB8">
        <w:rPr>
          <w:sz w:val="22"/>
          <w:szCs w:val="22"/>
          <w:lang w:val="en-US" w:eastAsia="ja-JP"/>
        </w:rPr>
        <w:t xml:space="preserve"> is outside this interval, wrap-around or aliasing occur in the estimator, by which an incorrect frequency offset is estimated.</w:t>
      </w:r>
      <w:r w:rsidR="002D469F">
        <w:rPr>
          <w:sz w:val="22"/>
          <w:szCs w:val="22"/>
          <w:lang w:val="en-US" w:eastAsia="ja-JP"/>
        </w:rPr>
        <w:t xml:space="preserve"> </w:t>
      </w:r>
      <w:r w:rsidRPr="00D51AB8">
        <w:rPr>
          <w:sz w:val="22"/>
          <w:szCs w:val="22"/>
          <w:lang w:val="en-US" w:eastAsia="ja-JP"/>
        </w:rPr>
        <w:t xml:space="preserve">The capture range of the frequency estimator is </w:t>
      </w:r>
      <w:r w:rsidRPr="002D469F">
        <w:rPr>
          <w:sz w:val="22"/>
          <w:szCs w:val="22"/>
          <w:lang w:val="en-US" w:eastAsia="ja-JP"/>
        </w:rPr>
        <w:t>±2.3 kHz</w:t>
      </w:r>
      <w:r w:rsidRPr="00D51AB8">
        <w:rPr>
          <w:sz w:val="22"/>
          <w:szCs w:val="22"/>
          <w:lang w:val="en-US" w:eastAsia="ja-JP"/>
        </w:rPr>
        <w:t xml:space="preserve"> based on the 3 OFDM symbols dis</w:t>
      </w:r>
      <w:r w:rsidR="002D469F">
        <w:rPr>
          <w:sz w:val="22"/>
          <w:szCs w:val="22"/>
          <w:lang w:val="en-US" w:eastAsia="ja-JP"/>
        </w:rPr>
        <w:t xml:space="preserve">tance between CRSs, hence </w:t>
      </w:r>
      <w:r w:rsidR="00620E2F">
        <w:rPr>
          <w:sz w:val="22"/>
          <w:szCs w:val="22"/>
          <w:lang w:val="en-US" w:eastAsia="ja-JP"/>
        </w:rPr>
        <w:t>when considering only GNSS-based synchronization the capture range of the frequency offset estimator suffices. However, for other synchronization options, such as PC5 or RAN-based, this might not be true.</w:t>
      </w:r>
    </w:p>
    <w:p w:rsidR="00620E2F" w:rsidRDefault="002D469F" w:rsidP="00B15786">
      <w:pPr>
        <w:ind w:right="709"/>
        <w:jc w:val="both"/>
        <w:rPr>
          <w:sz w:val="22"/>
          <w:szCs w:val="22"/>
          <w:lang w:val="en-US" w:eastAsia="ja-JP"/>
        </w:rPr>
      </w:pPr>
      <w:r>
        <w:rPr>
          <w:b/>
          <w:sz w:val="22"/>
          <w:szCs w:val="22"/>
          <w:lang w:val="en-US" w:eastAsia="ja-JP"/>
        </w:rPr>
        <w:t>Observation 2:</w:t>
      </w:r>
      <w:r>
        <w:rPr>
          <w:sz w:val="22"/>
          <w:szCs w:val="22"/>
          <w:lang w:val="en-US" w:eastAsia="ja-JP"/>
        </w:rPr>
        <w:t xml:space="preserve"> </w:t>
      </w:r>
      <w:r w:rsidR="00620E2F">
        <w:rPr>
          <w:sz w:val="22"/>
          <w:szCs w:val="22"/>
          <w:lang w:val="en-US" w:eastAsia="ja-JP"/>
        </w:rPr>
        <w:t>With GNSS-based synchronization the capture range of a legacy frequency offset estimator is sufficient. However, for PC5- and RAN-based synchronization the frequency offset may exceed the capture range of ±2.3 kHz.</w:t>
      </w:r>
    </w:p>
    <w:p w:rsidR="002C022D" w:rsidRPr="00D51AB8" w:rsidRDefault="000D261D" w:rsidP="00D51AB8">
      <w:pPr>
        <w:pStyle w:val="Heading1"/>
        <w:ind w:right="709"/>
        <w:rPr>
          <w:lang w:val="en-US" w:eastAsia="ja-JP"/>
        </w:rPr>
      </w:pPr>
      <w:r w:rsidRPr="00D51AB8">
        <w:rPr>
          <w:lang w:val="en-US" w:eastAsia="ja-JP"/>
        </w:rPr>
        <w:lastRenderedPageBreak/>
        <w:t>Simulations</w:t>
      </w:r>
    </w:p>
    <w:p w:rsidR="000D261D" w:rsidRPr="00D51AB8" w:rsidRDefault="000D261D" w:rsidP="00D51AB8">
      <w:pPr>
        <w:pStyle w:val="Heading2"/>
        <w:ind w:right="709"/>
        <w:rPr>
          <w:lang w:val="en-US" w:eastAsia="ja-JP"/>
        </w:rPr>
      </w:pPr>
      <w:r w:rsidRPr="00D51AB8">
        <w:rPr>
          <w:lang w:val="en-US" w:eastAsia="ja-JP"/>
        </w:rPr>
        <w:t>Simulation assumption</w:t>
      </w:r>
    </w:p>
    <w:p w:rsidR="00B15786" w:rsidRDefault="00B15786" w:rsidP="00B15786">
      <w:pPr>
        <w:rPr>
          <w:sz w:val="22"/>
          <w:szCs w:val="22"/>
        </w:rPr>
      </w:pPr>
      <w:r w:rsidRPr="009D5DA1">
        <w:rPr>
          <w:sz w:val="22"/>
          <w:szCs w:val="22"/>
        </w:rPr>
        <w:t>The sim</w:t>
      </w:r>
      <w:r>
        <w:rPr>
          <w:sz w:val="22"/>
          <w:szCs w:val="22"/>
        </w:rPr>
        <w:t>ulation assumptions are provided</w:t>
      </w:r>
      <w:r w:rsidRPr="00B15786">
        <w:rPr>
          <w:sz w:val="22"/>
          <w:szCs w:val="22"/>
        </w:rPr>
        <w:t xml:space="preserve"> in </w:t>
      </w:r>
      <w:r w:rsidRPr="00B15786">
        <w:rPr>
          <w:sz w:val="22"/>
          <w:szCs w:val="22"/>
        </w:rPr>
        <w:fldChar w:fldCharType="begin"/>
      </w:r>
      <w:r w:rsidRPr="00B15786">
        <w:rPr>
          <w:sz w:val="22"/>
          <w:szCs w:val="22"/>
        </w:rPr>
        <w:instrText xml:space="preserve"> REF _Ref458765533 \h </w:instrText>
      </w:r>
      <w:r>
        <w:rPr>
          <w:sz w:val="22"/>
          <w:szCs w:val="22"/>
        </w:rPr>
        <w:instrText xml:space="preserve"> \* MERGEFORMAT </w:instrText>
      </w:r>
      <w:r w:rsidRPr="00B15786">
        <w:rPr>
          <w:sz w:val="22"/>
          <w:szCs w:val="22"/>
        </w:rPr>
      </w:r>
      <w:r w:rsidRPr="00B15786">
        <w:rPr>
          <w:sz w:val="22"/>
          <w:szCs w:val="22"/>
        </w:rPr>
        <w:fldChar w:fldCharType="separate"/>
      </w:r>
      <w:r w:rsidR="00CB73A7" w:rsidRPr="00B87477">
        <w:rPr>
          <w:sz w:val="22"/>
          <w:szCs w:val="22"/>
          <w:lang w:val="en-US"/>
        </w:rPr>
        <w:t xml:space="preserve">Table </w:t>
      </w:r>
      <w:r w:rsidR="00CB73A7" w:rsidRPr="00B87477">
        <w:rPr>
          <w:noProof/>
          <w:sz w:val="22"/>
          <w:szCs w:val="22"/>
          <w:lang w:val="en-US"/>
        </w:rPr>
        <w:t>1</w:t>
      </w:r>
      <w:r w:rsidRPr="00B15786">
        <w:rPr>
          <w:sz w:val="22"/>
          <w:szCs w:val="22"/>
        </w:rPr>
        <w:fldChar w:fldCharType="end"/>
      </w:r>
      <w:r w:rsidRPr="00B15786">
        <w:rPr>
          <w:sz w:val="22"/>
          <w:szCs w:val="22"/>
        </w:rPr>
        <w:t>.</w:t>
      </w:r>
    </w:p>
    <w:p w:rsidR="00D821BC" w:rsidRPr="00B15786" w:rsidRDefault="00D821BC" w:rsidP="00D821BC">
      <w:pPr>
        <w:rPr>
          <w:lang w:eastAsia="ja-JP"/>
        </w:rPr>
      </w:pPr>
    </w:p>
    <w:p w:rsidR="00D821BC" w:rsidRPr="00D51AB8" w:rsidRDefault="00D821BC" w:rsidP="00D821BC">
      <w:pPr>
        <w:pStyle w:val="Caption"/>
        <w:keepNext/>
        <w:jc w:val="left"/>
        <w:rPr>
          <w:b w:val="0"/>
          <w:lang w:val="en-US"/>
        </w:rPr>
      </w:pPr>
      <w:bookmarkStart w:id="5" w:name="_Ref458765533"/>
      <w:r w:rsidRPr="00D51AB8">
        <w:rPr>
          <w:lang w:val="en-US"/>
        </w:rPr>
        <w:t xml:space="preserve">Table </w:t>
      </w:r>
      <w:r w:rsidRPr="00D51AB8">
        <w:rPr>
          <w:lang w:val="en-US"/>
        </w:rPr>
        <w:fldChar w:fldCharType="begin"/>
      </w:r>
      <w:r w:rsidRPr="00D51AB8">
        <w:rPr>
          <w:lang w:val="en-US"/>
        </w:rPr>
        <w:instrText xml:space="preserve"> SEQ Table \* ARABIC </w:instrText>
      </w:r>
      <w:r w:rsidRPr="00D51AB8">
        <w:rPr>
          <w:lang w:val="en-US"/>
        </w:rPr>
        <w:fldChar w:fldCharType="separate"/>
      </w:r>
      <w:r w:rsidR="00CB73A7">
        <w:rPr>
          <w:noProof/>
          <w:lang w:val="en-US"/>
        </w:rPr>
        <w:t>1</w:t>
      </w:r>
      <w:r w:rsidRPr="00D51AB8">
        <w:rPr>
          <w:lang w:val="en-US"/>
        </w:rPr>
        <w:fldChar w:fldCharType="end"/>
      </w:r>
      <w:bookmarkEnd w:id="5"/>
      <w:r w:rsidRPr="00D51AB8">
        <w:rPr>
          <w:lang w:val="en-US"/>
        </w:rPr>
        <w:t xml:space="preserve">: </w:t>
      </w:r>
      <w:r w:rsidRPr="00D51AB8">
        <w:rPr>
          <w:b w:val="0"/>
          <w:lang w:val="en-US"/>
        </w:rPr>
        <w:t>Simulation assumptions</w:t>
      </w:r>
    </w:p>
    <w:p w:rsidR="00D821BC" w:rsidRPr="00D51AB8" w:rsidRDefault="00D821BC" w:rsidP="00D821BC">
      <w:pPr>
        <w:rPr>
          <w:lang w:val="en-US" w:eastAsia="ja-JP"/>
        </w:rPr>
      </w:pPr>
    </w:p>
    <w:tbl>
      <w:tblPr>
        <w:tblW w:w="7796" w:type="dxa"/>
        <w:tblInd w:w="959" w:type="dxa"/>
        <w:tblCellMar>
          <w:left w:w="0" w:type="dxa"/>
          <w:right w:w="0" w:type="dxa"/>
        </w:tblCellMar>
        <w:tblLook w:val="01E0" w:firstRow="1" w:lastRow="1" w:firstColumn="1" w:lastColumn="1" w:noHBand="0" w:noVBand="0"/>
      </w:tblPr>
      <w:tblGrid>
        <w:gridCol w:w="2663"/>
        <w:gridCol w:w="2696"/>
        <w:gridCol w:w="2437"/>
      </w:tblGrid>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b/>
                <w:bCs/>
                <w:lang w:val="en-US"/>
              </w:rPr>
              <w:t>Parameters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b/>
                <w:bCs/>
                <w:lang w:val="en-US"/>
              </w:rPr>
              <w:t>Value</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b/>
                <w:bCs/>
                <w:lang w:val="en-US"/>
              </w:rPr>
              <w:t>Comments</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Frame structure type</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FDD</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Measurement bandwidth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6 resource blocks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821BC" w:rsidRPr="00D51AB8" w:rsidRDefault="00D821BC" w:rsidP="00D821BC">
            <w:pPr>
              <w:spacing w:after="0"/>
              <w:rPr>
                <w:lang w:val="en-US"/>
              </w:rPr>
            </w:pP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System bandwidth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50 resource blocks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 </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L1 measurement period</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200ms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821BC" w:rsidRPr="00D51AB8" w:rsidRDefault="00D821BC" w:rsidP="00D821BC">
            <w:pPr>
              <w:spacing w:after="0"/>
              <w:rPr>
                <w:lang w:val="en-US"/>
              </w:rPr>
            </w:pPr>
            <w:r w:rsidRPr="00D51AB8">
              <w:rPr>
                <w:lang w:val="en-US"/>
              </w:rPr>
              <w:t>Snapshot periodicity</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821BC" w:rsidRPr="00D51AB8" w:rsidRDefault="00D821BC" w:rsidP="00D821BC">
            <w:pPr>
              <w:spacing w:after="0"/>
              <w:rPr>
                <w:lang w:val="en-US"/>
              </w:rPr>
            </w:pPr>
            <w:r w:rsidRPr="00D51AB8">
              <w:rPr>
                <w:lang w:val="en-US"/>
              </w:rPr>
              <w:t>40ms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821BC" w:rsidRPr="00D51AB8" w:rsidRDefault="00D821BC" w:rsidP="00D821BC">
            <w:pPr>
              <w:spacing w:after="0"/>
              <w:rPr>
                <w:lang w:val="en-US"/>
              </w:rPr>
            </w:pP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L3 filtering</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Disabled</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 </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Transmit antenna</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 </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Receive antennas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2</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Strongest value after L1 filtering over RX1 and RX2 branches is reported</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Propagation conditions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 xml:space="preserve">AWGN CFO </w:t>
            </w:r>
            <w:r w:rsidR="00620E2F" w:rsidRPr="00B87477">
              <w:rPr>
                <w:lang w:val="en-US"/>
              </w:rPr>
              <w:t>135</w:t>
            </w:r>
            <w:r w:rsidRPr="00C40B1C">
              <w:rPr>
                <w:lang w:val="en-US"/>
              </w:rPr>
              <w:t>0Hz,</w:t>
            </w:r>
            <w:r w:rsidRPr="00D51AB8">
              <w:rPr>
                <w:lang w:val="en-US"/>
              </w:rPr>
              <w:br/>
              <w:t>ETU500 CFO 0Hz,</w:t>
            </w:r>
            <w:r w:rsidRPr="00D51AB8">
              <w:rPr>
                <w:lang w:val="en-US"/>
              </w:rPr>
              <w:br/>
              <w:t>EVA</w:t>
            </w:r>
            <w:r w:rsidR="00620E2F">
              <w:rPr>
                <w:lang w:val="en-US"/>
              </w:rPr>
              <w:t>1350</w:t>
            </w:r>
            <w:r w:rsidRPr="00D51AB8">
              <w:rPr>
                <w:lang w:val="en-US"/>
              </w:rPr>
              <w:t xml:space="preserve"> CFO 0Hz</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CFO: carrier frequency offset</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CP length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Normal</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 </w:t>
            </w:r>
          </w:p>
        </w:tc>
      </w:tr>
      <w:tr w:rsidR="00D821BC" w:rsidRPr="00D51AB8" w:rsidTr="00432CCB">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Carrier frequency</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eastAsia="ko-KR"/>
              </w:rPr>
              <w:t>5.9GHz</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003F5C" w:rsidP="00D821BC">
            <w:pPr>
              <w:spacing w:after="0"/>
              <w:rPr>
                <w:lang w:val="en-US"/>
              </w:rPr>
            </w:pPr>
            <w:r>
              <w:rPr>
                <w:lang w:val="en-US"/>
              </w:rPr>
              <w:t xml:space="preserve">No working assumption has been agreed. Figure is based on the V2V WID. </w:t>
            </w:r>
          </w:p>
        </w:tc>
      </w:tr>
      <w:tr w:rsidR="00D821BC" w:rsidRPr="00D51AB8" w:rsidTr="00432CCB">
        <w:trPr>
          <w:trHeight w:val="89"/>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Es/Iot</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w:t>
            </w:r>
            <w:r w:rsidR="00003F5C">
              <w:rPr>
                <w:lang w:val="en-US"/>
              </w:rPr>
              <w:t>10</w:t>
            </w:r>
            <w:r w:rsidRPr="00D51AB8">
              <w:rPr>
                <w:lang w:val="en-US"/>
              </w:rPr>
              <w:t xml:space="preserve"> dB … </w:t>
            </w:r>
            <w:r w:rsidR="00003F5C">
              <w:rPr>
                <w:lang w:val="en-US"/>
              </w:rPr>
              <w:t>10</w:t>
            </w:r>
            <w:r w:rsidRPr="00D51AB8">
              <w:rPr>
                <w:lang w:val="en-US"/>
              </w:rPr>
              <w:t xml:space="preserve"> dB</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D821BC" w:rsidRPr="00D51AB8" w:rsidRDefault="00D821BC" w:rsidP="00D821BC">
            <w:pPr>
              <w:spacing w:after="0"/>
              <w:rPr>
                <w:lang w:val="en-US"/>
              </w:rPr>
            </w:pPr>
            <w:r w:rsidRPr="00D51AB8">
              <w:rPr>
                <w:lang w:val="en-US"/>
              </w:rPr>
              <w:t xml:space="preserve">AWGN noise </w:t>
            </w:r>
          </w:p>
        </w:tc>
      </w:tr>
      <w:tr w:rsidR="00D821BC" w:rsidRPr="00D51AB8" w:rsidTr="00432CCB">
        <w:trPr>
          <w:trHeight w:val="89"/>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821BC" w:rsidRPr="00D51AB8" w:rsidRDefault="00D821BC" w:rsidP="00D821BC">
            <w:pPr>
              <w:spacing w:after="0"/>
              <w:rPr>
                <w:lang w:val="en-US"/>
              </w:rPr>
            </w:pPr>
            <w:r w:rsidRPr="00D51AB8">
              <w:rPr>
                <w:lang w:val="en-US"/>
              </w:rPr>
              <w:t>Cell load condition</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821BC" w:rsidRPr="00D51AB8" w:rsidRDefault="00D821BC" w:rsidP="00D821BC">
            <w:pPr>
              <w:spacing w:after="0"/>
              <w:rPr>
                <w:lang w:val="en-US"/>
              </w:rPr>
            </w:pPr>
            <w:r w:rsidRPr="00D51AB8">
              <w:rPr>
                <w:lang w:val="en-US"/>
              </w:rPr>
              <w:t>100%</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D821BC" w:rsidRPr="00D51AB8" w:rsidRDefault="00D821BC" w:rsidP="00D821BC">
            <w:pPr>
              <w:spacing w:after="0"/>
              <w:rPr>
                <w:lang w:val="en-US"/>
              </w:rPr>
            </w:pPr>
            <w:r w:rsidRPr="00D51AB8">
              <w:rPr>
                <w:lang w:val="en-US"/>
              </w:rPr>
              <w:t>OCNG with same power as CRS is used</w:t>
            </w:r>
          </w:p>
        </w:tc>
      </w:tr>
    </w:tbl>
    <w:p w:rsidR="00D821BC" w:rsidRPr="00D51AB8" w:rsidRDefault="00D821BC" w:rsidP="00D821BC">
      <w:pPr>
        <w:rPr>
          <w:lang w:val="en-US" w:eastAsia="ja-JP"/>
        </w:rPr>
      </w:pPr>
    </w:p>
    <w:p w:rsidR="000D261D" w:rsidRDefault="000D261D" w:rsidP="00327A77">
      <w:pPr>
        <w:pStyle w:val="Heading2"/>
        <w:ind w:right="283"/>
        <w:rPr>
          <w:lang w:val="en-US" w:eastAsia="ja-JP"/>
        </w:rPr>
      </w:pPr>
      <w:r w:rsidRPr="00D51AB8">
        <w:rPr>
          <w:lang w:val="en-US" w:eastAsia="ja-JP"/>
        </w:rPr>
        <w:t>AWGN propagation condition</w:t>
      </w:r>
    </w:p>
    <w:p w:rsidR="00B15786" w:rsidRPr="00B15786" w:rsidRDefault="00B15786" w:rsidP="00B15786">
      <w:pPr>
        <w:ind w:right="709"/>
        <w:jc w:val="both"/>
        <w:rPr>
          <w:lang w:val="en-US" w:eastAsia="ja-JP"/>
        </w:rPr>
      </w:pPr>
      <w:r w:rsidRPr="00D03239">
        <w:rPr>
          <w:sz w:val="22"/>
          <w:szCs w:val="22"/>
        </w:rPr>
        <w:t>The simulation results for AWGN (static one-tap) propagation conditions with carrier frequency offset</w:t>
      </w:r>
      <w:r w:rsidR="00D42958">
        <w:rPr>
          <w:sz w:val="22"/>
          <w:szCs w:val="22"/>
        </w:rPr>
        <w:t xml:space="preserve"> 1350Hz is provided in </w:t>
      </w:r>
      <w:r w:rsidRPr="00B15786">
        <w:rPr>
          <w:sz w:val="22"/>
          <w:szCs w:val="22"/>
        </w:rPr>
        <w:fldChar w:fldCharType="begin"/>
      </w:r>
      <w:r w:rsidRPr="00B15786">
        <w:rPr>
          <w:sz w:val="22"/>
          <w:szCs w:val="22"/>
        </w:rPr>
        <w:instrText xml:space="preserve"> REF _Ref458765600 \h </w:instrText>
      </w:r>
      <w:r>
        <w:rPr>
          <w:sz w:val="22"/>
          <w:szCs w:val="22"/>
        </w:rPr>
        <w:instrText xml:space="preserve"> \* MERGEFORMAT </w:instrText>
      </w:r>
      <w:r w:rsidRPr="00B15786">
        <w:rPr>
          <w:sz w:val="22"/>
          <w:szCs w:val="22"/>
        </w:rPr>
      </w:r>
      <w:r w:rsidRPr="00B15786">
        <w:rPr>
          <w:sz w:val="22"/>
          <w:szCs w:val="22"/>
        </w:rPr>
        <w:fldChar w:fldCharType="separate"/>
      </w:r>
      <w:r w:rsidR="00CB73A7" w:rsidRPr="00B87477">
        <w:rPr>
          <w:sz w:val="22"/>
          <w:szCs w:val="22"/>
          <w:lang w:val="en-US"/>
        </w:rPr>
        <w:t xml:space="preserve">Figure </w:t>
      </w:r>
      <w:r w:rsidR="00CB73A7" w:rsidRPr="00B87477">
        <w:rPr>
          <w:noProof/>
          <w:sz w:val="22"/>
          <w:szCs w:val="22"/>
          <w:lang w:val="en-US"/>
        </w:rPr>
        <w:t>4</w:t>
      </w:r>
      <w:r w:rsidRPr="00B15786">
        <w:rPr>
          <w:sz w:val="22"/>
          <w:szCs w:val="22"/>
        </w:rPr>
        <w:fldChar w:fldCharType="end"/>
      </w:r>
      <w:r w:rsidRPr="00D03239">
        <w:rPr>
          <w:sz w:val="22"/>
          <w:szCs w:val="22"/>
        </w:rPr>
        <w:t>, and the 5</w:t>
      </w:r>
      <w:r w:rsidRPr="00D03239">
        <w:rPr>
          <w:sz w:val="22"/>
          <w:szCs w:val="22"/>
          <w:vertAlign w:val="superscript"/>
        </w:rPr>
        <w:t>th</w:t>
      </w:r>
      <w:r w:rsidRPr="00D03239">
        <w:rPr>
          <w:sz w:val="22"/>
          <w:szCs w:val="22"/>
        </w:rPr>
        <w:t>, 50</w:t>
      </w:r>
      <w:r w:rsidRPr="00D03239">
        <w:rPr>
          <w:sz w:val="22"/>
          <w:szCs w:val="22"/>
          <w:vertAlign w:val="superscript"/>
        </w:rPr>
        <w:t>th</w:t>
      </w:r>
      <w:r w:rsidRPr="00D03239">
        <w:rPr>
          <w:sz w:val="22"/>
          <w:szCs w:val="22"/>
        </w:rPr>
        <w:t xml:space="preserve"> and 95</w:t>
      </w:r>
      <w:r w:rsidRPr="00D03239">
        <w:rPr>
          <w:sz w:val="22"/>
          <w:szCs w:val="22"/>
          <w:vertAlign w:val="superscript"/>
        </w:rPr>
        <w:t>th</w:t>
      </w:r>
      <w:r w:rsidRPr="00D03239">
        <w:rPr>
          <w:sz w:val="22"/>
          <w:szCs w:val="22"/>
        </w:rPr>
        <w:t xml:space="preserve"> percentiles of the d</w:t>
      </w:r>
      <w:r>
        <w:rPr>
          <w:sz w:val="22"/>
          <w:szCs w:val="22"/>
        </w:rPr>
        <w:t xml:space="preserve">eviations between measured and ideal </w:t>
      </w:r>
      <w:r w:rsidRPr="00D03239">
        <w:rPr>
          <w:sz w:val="22"/>
          <w:szCs w:val="22"/>
        </w:rPr>
        <w:t xml:space="preserve">RSRP </w:t>
      </w:r>
      <w:r>
        <w:rPr>
          <w:sz w:val="22"/>
          <w:szCs w:val="22"/>
        </w:rPr>
        <w:t xml:space="preserve">and RSRQ </w:t>
      </w:r>
      <w:r w:rsidRPr="00D03239">
        <w:rPr>
          <w:sz w:val="22"/>
          <w:szCs w:val="22"/>
        </w:rPr>
        <w:t>are provided i</w:t>
      </w:r>
      <w:r>
        <w:rPr>
          <w:sz w:val="22"/>
          <w:szCs w:val="22"/>
        </w:rPr>
        <w:t xml:space="preserve">n </w:t>
      </w:r>
      <w:r w:rsidRPr="00B15786">
        <w:rPr>
          <w:sz w:val="22"/>
          <w:szCs w:val="22"/>
        </w:rPr>
        <w:fldChar w:fldCharType="begin"/>
      </w:r>
      <w:r w:rsidRPr="00B15786">
        <w:rPr>
          <w:sz w:val="22"/>
          <w:szCs w:val="22"/>
        </w:rPr>
        <w:instrText xml:space="preserve"> REF _Ref458765672 \h </w:instrText>
      </w:r>
      <w:r>
        <w:rPr>
          <w:sz w:val="22"/>
          <w:szCs w:val="22"/>
        </w:rPr>
        <w:instrText xml:space="preserve"> \* MERGEFORMAT </w:instrText>
      </w:r>
      <w:r w:rsidRPr="00B15786">
        <w:rPr>
          <w:sz w:val="22"/>
          <w:szCs w:val="22"/>
        </w:rPr>
      </w:r>
      <w:r w:rsidRPr="00B15786">
        <w:rPr>
          <w:sz w:val="22"/>
          <w:szCs w:val="22"/>
        </w:rPr>
        <w:fldChar w:fldCharType="separate"/>
      </w:r>
      <w:r w:rsidR="00CB73A7" w:rsidRPr="00B87477">
        <w:rPr>
          <w:sz w:val="22"/>
          <w:szCs w:val="22"/>
          <w:lang w:val="en-US"/>
        </w:rPr>
        <w:t xml:space="preserve">Table </w:t>
      </w:r>
      <w:r w:rsidR="00CB73A7" w:rsidRPr="00B87477">
        <w:rPr>
          <w:noProof/>
          <w:sz w:val="22"/>
          <w:szCs w:val="22"/>
          <w:lang w:val="en-US"/>
        </w:rPr>
        <w:t>2</w:t>
      </w:r>
      <w:r w:rsidRPr="00B15786">
        <w:rPr>
          <w:sz w:val="22"/>
          <w:szCs w:val="22"/>
        </w:rPr>
        <w:fldChar w:fldCharType="end"/>
      </w:r>
      <w:r>
        <w:rPr>
          <w:sz w:val="22"/>
          <w:szCs w:val="22"/>
        </w:rPr>
        <w:t xml:space="preserve"> </w:t>
      </w:r>
      <w:r w:rsidRPr="00D03239">
        <w:rPr>
          <w:sz w:val="22"/>
          <w:szCs w:val="22"/>
        </w:rPr>
        <w:t>.</w:t>
      </w:r>
    </w:p>
    <w:p w:rsidR="00327A77" w:rsidRPr="00D51AB8" w:rsidRDefault="00AD5968" w:rsidP="00327A77">
      <w:pPr>
        <w:keepNext/>
        <w:ind w:right="-425"/>
        <w:rPr>
          <w:lang w:val="en-US"/>
        </w:rPr>
      </w:pPr>
      <w:r w:rsidRPr="00AD5968">
        <w:rPr>
          <w:noProof/>
          <w:lang w:val="sv-SE" w:eastAsia="zh-CN"/>
        </w:rPr>
        <w:drawing>
          <wp:inline distT="0" distB="0" distL="0" distR="0" wp14:anchorId="5E208E15" wp14:editId="21F795C5">
            <wp:extent cx="2934000" cy="2199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4000" cy="2199600"/>
                    </a:xfrm>
                    <a:prstGeom prst="rect">
                      <a:avLst/>
                    </a:prstGeom>
                  </pic:spPr>
                </pic:pic>
              </a:graphicData>
            </a:graphic>
          </wp:inline>
        </w:drawing>
      </w:r>
      <w:r>
        <w:rPr>
          <w:noProof/>
          <w:lang w:val="sv-SE" w:eastAsia="zh-CN"/>
        </w:rPr>
        <w:drawing>
          <wp:inline distT="0" distB="0" distL="0" distR="0" wp14:anchorId="32396DC0" wp14:editId="603427A7">
            <wp:extent cx="2934000" cy="2199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4000" cy="2199600"/>
                    </a:xfrm>
                    <a:prstGeom prst="rect">
                      <a:avLst/>
                    </a:prstGeom>
                    <a:noFill/>
                  </pic:spPr>
                </pic:pic>
              </a:graphicData>
            </a:graphic>
          </wp:inline>
        </w:drawing>
      </w:r>
    </w:p>
    <w:p w:rsidR="00CC0CC2" w:rsidRPr="00D51AB8" w:rsidRDefault="00327A77" w:rsidP="00D51AB8">
      <w:pPr>
        <w:pStyle w:val="Caption"/>
        <w:ind w:right="709"/>
        <w:jc w:val="left"/>
        <w:rPr>
          <w:lang w:val="en-US"/>
        </w:rPr>
      </w:pPr>
      <w:bookmarkStart w:id="6" w:name="_Ref458765600"/>
      <w:r w:rsidRPr="00D51AB8">
        <w:rPr>
          <w:lang w:val="en-US"/>
        </w:rPr>
        <w:t xml:space="preserve">Figure </w:t>
      </w:r>
      <w:r w:rsidRPr="00D51AB8">
        <w:rPr>
          <w:lang w:val="en-US"/>
        </w:rPr>
        <w:fldChar w:fldCharType="begin"/>
      </w:r>
      <w:r w:rsidRPr="00D51AB8">
        <w:rPr>
          <w:lang w:val="en-US"/>
        </w:rPr>
        <w:instrText xml:space="preserve"> SEQ Figure \* ARABIC </w:instrText>
      </w:r>
      <w:r w:rsidRPr="00D51AB8">
        <w:rPr>
          <w:lang w:val="en-US"/>
        </w:rPr>
        <w:fldChar w:fldCharType="separate"/>
      </w:r>
      <w:r w:rsidR="00CB73A7">
        <w:rPr>
          <w:noProof/>
          <w:lang w:val="en-US"/>
        </w:rPr>
        <w:t>4</w:t>
      </w:r>
      <w:r w:rsidRPr="00D51AB8">
        <w:rPr>
          <w:lang w:val="en-US"/>
        </w:rPr>
        <w:fldChar w:fldCharType="end"/>
      </w:r>
      <w:bookmarkEnd w:id="6"/>
      <w:r w:rsidRPr="00D51AB8">
        <w:rPr>
          <w:lang w:val="en-US"/>
        </w:rPr>
        <w:t xml:space="preserve">: </w:t>
      </w:r>
      <w:r w:rsidR="00232B00" w:rsidRPr="00D51AB8">
        <w:rPr>
          <w:b w:val="0"/>
          <w:lang w:val="en-US"/>
        </w:rPr>
        <w:t xml:space="preserve">Measurement performance for (left): RSRP and (right): RSRQ for SNR range -10 to 10 dB. Propagation condition AWGN, </w:t>
      </w:r>
      <w:r w:rsidR="00232B00" w:rsidRPr="00AD5968">
        <w:rPr>
          <w:b w:val="0"/>
          <w:lang w:val="en-US"/>
        </w:rPr>
        <w:t xml:space="preserve">CFO </w:t>
      </w:r>
      <w:r w:rsidR="00D42958" w:rsidRPr="00AD5968">
        <w:rPr>
          <w:b w:val="0"/>
          <w:lang w:val="en-US"/>
        </w:rPr>
        <w:t>1350</w:t>
      </w:r>
      <w:r w:rsidR="00232B00" w:rsidRPr="00AD5968">
        <w:rPr>
          <w:b w:val="0"/>
          <w:lang w:val="en-US"/>
        </w:rPr>
        <w:t>Hz.</w:t>
      </w:r>
      <w:r w:rsidR="00232B00" w:rsidRPr="00D51AB8">
        <w:rPr>
          <w:b w:val="0"/>
          <w:lang w:val="en-US"/>
        </w:rPr>
        <w:t xml:space="preserve"> Percentiles: 5</w:t>
      </w:r>
      <w:r w:rsidR="00232B00" w:rsidRPr="00D51AB8">
        <w:rPr>
          <w:b w:val="0"/>
          <w:vertAlign w:val="superscript"/>
          <w:lang w:val="en-US"/>
        </w:rPr>
        <w:t>th</w:t>
      </w:r>
      <w:r w:rsidR="00232B00" w:rsidRPr="00D51AB8">
        <w:rPr>
          <w:b w:val="0"/>
          <w:lang w:val="en-US"/>
        </w:rPr>
        <w:t>, 50</w:t>
      </w:r>
      <w:r w:rsidR="00232B00" w:rsidRPr="00D51AB8">
        <w:rPr>
          <w:b w:val="0"/>
          <w:vertAlign w:val="superscript"/>
          <w:lang w:val="en-US"/>
        </w:rPr>
        <w:t>th</w:t>
      </w:r>
      <w:r w:rsidR="00232B00" w:rsidRPr="00D51AB8">
        <w:rPr>
          <w:b w:val="0"/>
          <w:lang w:val="en-US"/>
        </w:rPr>
        <w:t xml:space="preserve"> and 95</w:t>
      </w:r>
      <w:r w:rsidR="00232B00" w:rsidRPr="00D51AB8">
        <w:rPr>
          <w:b w:val="0"/>
          <w:vertAlign w:val="superscript"/>
          <w:lang w:val="en-US"/>
        </w:rPr>
        <w:t>th</w:t>
      </w:r>
      <w:r w:rsidR="00232B00" w:rsidRPr="00D51AB8">
        <w:rPr>
          <w:b w:val="0"/>
          <w:lang w:val="en-US"/>
        </w:rPr>
        <w:t>.</w:t>
      </w:r>
    </w:p>
    <w:p w:rsidR="00327A77" w:rsidRPr="00D51AB8" w:rsidRDefault="00327A77" w:rsidP="00E838CC">
      <w:pPr>
        <w:ind w:right="-425"/>
        <w:rPr>
          <w:lang w:val="en-US" w:eastAsia="ja-JP"/>
        </w:rPr>
      </w:pPr>
    </w:p>
    <w:p w:rsidR="00034BF4" w:rsidRPr="00D51AB8" w:rsidRDefault="00034BF4" w:rsidP="00D51AB8">
      <w:pPr>
        <w:pStyle w:val="Caption"/>
        <w:keepNext/>
        <w:ind w:right="709"/>
        <w:jc w:val="left"/>
        <w:rPr>
          <w:b w:val="0"/>
          <w:lang w:val="en-US"/>
        </w:rPr>
      </w:pPr>
      <w:bookmarkStart w:id="7" w:name="_Ref458765672"/>
      <w:r w:rsidRPr="00D51AB8">
        <w:rPr>
          <w:lang w:val="en-US"/>
        </w:rPr>
        <w:t xml:space="preserve">Table </w:t>
      </w:r>
      <w:r w:rsidRPr="00D51AB8">
        <w:rPr>
          <w:lang w:val="en-US"/>
        </w:rPr>
        <w:fldChar w:fldCharType="begin"/>
      </w:r>
      <w:r w:rsidRPr="00D51AB8">
        <w:rPr>
          <w:lang w:val="en-US"/>
        </w:rPr>
        <w:instrText xml:space="preserve"> SEQ Table \* ARABIC </w:instrText>
      </w:r>
      <w:r w:rsidRPr="00D51AB8">
        <w:rPr>
          <w:lang w:val="en-US"/>
        </w:rPr>
        <w:fldChar w:fldCharType="separate"/>
      </w:r>
      <w:r w:rsidR="00CB73A7">
        <w:rPr>
          <w:noProof/>
          <w:lang w:val="en-US"/>
        </w:rPr>
        <w:t>2</w:t>
      </w:r>
      <w:r w:rsidRPr="00D51AB8">
        <w:rPr>
          <w:lang w:val="en-US"/>
        </w:rPr>
        <w:fldChar w:fldCharType="end"/>
      </w:r>
      <w:bookmarkEnd w:id="7"/>
      <w:r w:rsidRPr="00D51AB8">
        <w:rPr>
          <w:lang w:val="en-US"/>
        </w:rPr>
        <w:t xml:space="preserve">: </w:t>
      </w:r>
      <w:r w:rsidRPr="00D51AB8">
        <w:rPr>
          <w:b w:val="0"/>
          <w:lang w:val="en-US"/>
        </w:rPr>
        <w:t xml:space="preserve"> </w:t>
      </w:r>
      <w:r w:rsidR="00232B00" w:rsidRPr="00D51AB8">
        <w:rPr>
          <w:b w:val="0"/>
          <w:lang w:val="en-US"/>
        </w:rPr>
        <w:t xml:space="preserve">Percentiles for deviations from ideal RSRP and RSRQ. Propagation condition AWGN with CFO </w:t>
      </w:r>
      <w:r w:rsidR="00D42958" w:rsidRPr="00AD5968">
        <w:rPr>
          <w:b w:val="0"/>
          <w:lang w:val="en-US"/>
        </w:rPr>
        <w:t>1350</w:t>
      </w:r>
      <w:r w:rsidR="00232B00" w:rsidRPr="00AD5968">
        <w:rPr>
          <w:b w:val="0"/>
          <w:lang w:val="en-US"/>
        </w:rPr>
        <w:t>Hz.</w:t>
      </w:r>
      <w:r w:rsidR="00232B00" w:rsidRPr="00D51AB8">
        <w:rPr>
          <w:b w:val="0"/>
          <w:lang w:val="en-US"/>
        </w:rPr>
        <w:t xml:space="preserve"> </w:t>
      </w: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tblGrid>
      <w:tr w:rsidR="00F45DFC" w:rsidRPr="00D51AB8" w:rsidTr="00034BF4">
        <w:trPr>
          <w:trHeight w:val="300"/>
          <w:jc w:val="center"/>
        </w:trPr>
        <w:tc>
          <w:tcPr>
            <w:tcW w:w="960" w:type="dxa"/>
            <w:vMerge w:val="restart"/>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SNR</w:t>
            </w:r>
          </w:p>
        </w:tc>
        <w:tc>
          <w:tcPr>
            <w:tcW w:w="5760" w:type="dxa"/>
            <w:gridSpan w:val="6"/>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Δ [dB]</w:t>
            </w:r>
          </w:p>
        </w:tc>
      </w:tr>
      <w:tr w:rsidR="00F45DFC" w:rsidRPr="00D51AB8" w:rsidTr="00034BF4">
        <w:trPr>
          <w:trHeight w:val="300"/>
          <w:jc w:val="center"/>
        </w:trPr>
        <w:tc>
          <w:tcPr>
            <w:tcW w:w="960" w:type="dxa"/>
            <w:vMerge/>
            <w:tcBorders>
              <w:right w:val="double" w:sz="4" w:space="0" w:color="auto"/>
            </w:tcBorders>
            <w:shd w:val="clear" w:color="auto" w:fill="auto"/>
            <w:noWrap/>
            <w:vAlign w:val="center"/>
          </w:tcPr>
          <w:p w:rsidR="00F45DFC" w:rsidRPr="00D51AB8" w:rsidRDefault="00F45DFC" w:rsidP="00F45DFC">
            <w:pPr>
              <w:spacing w:after="0"/>
              <w:jc w:val="center"/>
              <w:rPr>
                <w:rFonts w:asciiTheme="minorHAnsi" w:eastAsia="Times New Roman" w:hAnsiTheme="minorHAnsi"/>
                <w:color w:val="000000"/>
                <w:sz w:val="18"/>
                <w:lang w:val="en-US" w:eastAsia="zh-CN"/>
              </w:rPr>
            </w:pPr>
          </w:p>
        </w:tc>
        <w:tc>
          <w:tcPr>
            <w:tcW w:w="2880" w:type="dxa"/>
            <w:gridSpan w:val="3"/>
            <w:tcBorders>
              <w:left w:val="double" w:sz="4" w:space="0" w:color="auto"/>
              <w:right w:val="double" w:sz="4" w:space="0" w:color="auto"/>
            </w:tcBorders>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RSRP</w:t>
            </w:r>
          </w:p>
        </w:tc>
        <w:tc>
          <w:tcPr>
            <w:tcW w:w="2880" w:type="dxa"/>
            <w:gridSpan w:val="3"/>
            <w:tcBorders>
              <w:left w:val="double" w:sz="4" w:space="0" w:color="auto"/>
            </w:tcBorders>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RSRQ</w:t>
            </w:r>
          </w:p>
        </w:tc>
      </w:tr>
      <w:tr w:rsidR="00F45DFC" w:rsidRPr="00D51AB8" w:rsidTr="00034BF4">
        <w:trPr>
          <w:trHeight w:val="300"/>
          <w:jc w:val="center"/>
        </w:trPr>
        <w:tc>
          <w:tcPr>
            <w:tcW w:w="960" w:type="dxa"/>
            <w:vMerge/>
            <w:tcBorders>
              <w:right w:val="double" w:sz="4" w:space="0" w:color="auto"/>
            </w:tcBorders>
            <w:shd w:val="clear" w:color="auto" w:fill="auto"/>
            <w:noWrap/>
            <w:vAlign w:val="center"/>
          </w:tcPr>
          <w:p w:rsidR="00F45DFC" w:rsidRPr="00D51AB8" w:rsidRDefault="00F45DFC" w:rsidP="00F45DFC">
            <w:pPr>
              <w:spacing w:after="0"/>
              <w:jc w:val="center"/>
              <w:rPr>
                <w:rFonts w:asciiTheme="minorHAnsi" w:eastAsia="Times New Roman" w:hAnsiTheme="minorHAnsi"/>
                <w:color w:val="000000"/>
                <w:sz w:val="18"/>
                <w:lang w:val="en-US" w:eastAsia="zh-CN"/>
              </w:rPr>
            </w:pPr>
          </w:p>
        </w:tc>
        <w:tc>
          <w:tcPr>
            <w:tcW w:w="960" w:type="dxa"/>
            <w:tcBorders>
              <w:left w:val="double" w:sz="4" w:space="0" w:color="auto"/>
            </w:tcBorders>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r w:rsidRPr="00D51AB8">
              <w:rPr>
                <w:rFonts w:asciiTheme="minorHAnsi" w:eastAsia="Times New Roman" w:hAnsiTheme="minorHAnsi"/>
                <w:b/>
                <w:color w:val="000000"/>
                <w:sz w:val="18"/>
                <w:vertAlign w:val="superscript"/>
                <w:lang w:val="en-US" w:eastAsia="zh-CN"/>
              </w:rPr>
              <w:t>th</w:t>
            </w:r>
          </w:p>
        </w:tc>
        <w:tc>
          <w:tcPr>
            <w:tcW w:w="960" w:type="dxa"/>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w:t>
            </w:r>
            <w:r w:rsidRPr="00D51AB8">
              <w:rPr>
                <w:rFonts w:asciiTheme="minorHAnsi" w:eastAsia="Times New Roman" w:hAnsiTheme="minorHAnsi"/>
                <w:b/>
                <w:color w:val="000000"/>
                <w:sz w:val="18"/>
                <w:vertAlign w:val="superscript"/>
                <w:lang w:val="en-US" w:eastAsia="zh-CN"/>
              </w:rPr>
              <w:t>th</w:t>
            </w:r>
          </w:p>
        </w:tc>
        <w:tc>
          <w:tcPr>
            <w:tcW w:w="960" w:type="dxa"/>
            <w:tcBorders>
              <w:right w:val="double" w:sz="4" w:space="0" w:color="auto"/>
            </w:tcBorders>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w:t>
            </w:r>
            <w:r w:rsidRPr="00D51AB8">
              <w:rPr>
                <w:rFonts w:asciiTheme="minorHAnsi" w:eastAsia="Times New Roman" w:hAnsiTheme="minorHAnsi"/>
                <w:b/>
                <w:color w:val="000000"/>
                <w:sz w:val="18"/>
                <w:vertAlign w:val="superscript"/>
                <w:lang w:val="en-US" w:eastAsia="zh-CN"/>
              </w:rPr>
              <w:t>th</w:t>
            </w:r>
          </w:p>
        </w:tc>
        <w:tc>
          <w:tcPr>
            <w:tcW w:w="960" w:type="dxa"/>
            <w:tcBorders>
              <w:left w:val="double" w:sz="4" w:space="0" w:color="auto"/>
            </w:tcBorders>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r w:rsidRPr="00D51AB8">
              <w:rPr>
                <w:rFonts w:asciiTheme="minorHAnsi" w:eastAsia="Times New Roman" w:hAnsiTheme="minorHAnsi"/>
                <w:b/>
                <w:color w:val="000000"/>
                <w:sz w:val="18"/>
                <w:vertAlign w:val="superscript"/>
                <w:lang w:val="en-US" w:eastAsia="zh-CN"/>
              </w:rPr>
              <w:t>th</w:t>
            </w:r>
          </w:p>
        </w:tc>
        <w:tc>
          <w:tcPr>
            <w:tcW w:w="960" w:type="dxa"/>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w:t>
            </w:r>
            <w:r w:rsidRPr="00D51AB8">
              <w:rPr>
                <w:rFonts w:asciiTheme="minorHAnsi" w:eastAsia="Times New Roman" w:hAnsiTheme="minorHAnsi"/>
                <w:b/>
                <w:color w:val="000000"/>
                <w:sz w:val="18"/>
                <w:vertAlign w:val="superscript"/>
                <w:lang w:val="en-US" w:eastAsia="zh-CN"/>
              </w:rPr>
              <w:t>th</w:t>
            </w:r>
          </w:p>
        </w:tc>
        <w:tc>
          <w:tcPr>
            <w:tcW w:w="960" w:type="dxa"/>
            <w:shd w:val="clear" w:color="auto" w:fill="auto"/>
            <w:noWrap/>
            <w:vAlign w:val="center"/>
          </w:tcPr>
          <w:p w:rsidR="00F45DFC" w:rsidRPr="00D51AB8" w:rsidRDefault="00F45DFC" w:rsidP="00F45DF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w:t>
            </w:r>
            <w:r w:rsidRPr="00D51AB8">
              <w:rPr>
                <w:rFonts w:asciiTheme="minorHAnsi" w:eastAsia="Times New Roman" w:hAnsiTheme="minorHAnsi"/>
                <w:b/>
                <w:color w:val="000000"/>
                <w:sz w:val="18"/>
                <w:vertAlign w:val="superscript"/>
                <w:lang w:val="en-US" w:eastAsia="zh-CN"/>
              </w:rPr>
              <w:t>th</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1,24</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2,45</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3,52</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1,28</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2,45</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3,51</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1,04</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2,08</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3,07</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1,04</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2,07</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3,07</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0,83</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1,73</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2,59</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0,81</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1,73</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2,59</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0,56</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1,42</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2,25</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0,57</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1,42</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2,24</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0,38</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1,18</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1,90</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0,41</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1,17</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1,86</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0,24</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0,92</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1,59</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0,25</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0,91</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1,58</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0,18</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0,78</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1,35</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0,19</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0,77</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1,32</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0,12</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0,63</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1,18</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0,13</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0,62</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1,17</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0,04</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0,51</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1,00</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0,04</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0,50</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0,98</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-0,04</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0,41</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0,82</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-0,02</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0,41</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0,81</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0</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-0,08</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0,31</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0,72</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-0,07</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0,31</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0,69</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-0,12</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0,25</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0,59</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-0,10</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0,25</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0,56</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-0,12</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0,18</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0,50</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-0,12</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0,19</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0,48</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-0,15</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0,13</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0,40</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-0,14</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0,13</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0,39</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-0,12</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0,11</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0,38</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-0,11</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0,11</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0,36</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-0,16</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0,07</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0,29</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-0,15</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0,06</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0,27</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-0,17</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0,04</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0,26</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-0,17</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0,04</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0,25</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-0,16</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0,01</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0,20</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-0,15</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0,01</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0,19</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-0,17</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0,00</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0,17</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-0,16</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0,00</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0,16</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-0,18</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-0,02</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0,13</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-0,17</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-0,02</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0,12</w:t>
            </w:r>
          </w:p>
        </w:tc>
      </w:tr>
      <w:tr w:rsidR="00AD5968" w:rsidRPr="00D51AB8" w:rsidTr="00B87477">
        <w:trPr>
          <w:trHeight w:val="300"/>
          <w:jc w:val="center"/>
        </w:trPr>
        <w:tc>
          <w:tcPr>
            <w:tcW w:w="960" w:type="dxa"/>
            <w:tcBorders>
              <w:right w:val="double" w:sz="4" w:space="0" w:color="auto"/>
            </w:tcBorders>
            <w:shd w:val="clear" w:color="auto" w:fill="auto"/>
            <w:noWrap/>
            <w:vAlign w:val="center"/>
            <w:hideMark/>
          </w:tcPr>
          <w:p w:rsidR="00AD5968" w:rsidRPr="00D51AB8" w:rsidRDefault="00AD5968" w:rsidP="00AD5968">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-0,17</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-0,02</w:t>
            </w:r>
          </w:p>
        </w:tc>
        <w:tc>
          <w:tcPr>
            <w:tcW w:w="960" w:type="dxa"/>
            <w:tcBorders>
              <w:righ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0,12</w:t>
            </w:r>
          </w:p>
        </w:tc>
        <w:tc>
          <w:tcPr>
            <w:tcW w:w="960" w:type="dxa"/>
            <w:tcBorders>
              <w:left w:val="double" w:sz="4" w:space="0" w:color="auto"/>
            </w:tcBorders>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-0,16</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-0,03</w:t>
            </w:r>
          </w:p>
        </w:tc>
        <w:tc>
          <w:tcPr>
            <w:tcW w:w="960" w:type="dxa"/>
            <w:shd w:val="clear" w:color="auto" w:fill="auto"/>
            <w:noWrap/>
            <w:vAlign w:val="bottom"/>
            <w:hideMark/>
          </w:tcPr>
          <w:p w:rsidR="00AD5968" w:rsidRPr="00B87477" w:rsidRDefault="00AD5968" w:rsidP="00AD5968">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0,11</w:t>
            </w:r>
          </w:p>
        </w:tc>
      </w:tr>
    </w:tbl>
    <w:p w:rsidR="00327A77" w:rsidRPr="00D51AB8" w:rsidRDefault="00327A77" w:rsidP="00E838CC">
      <w:pPr>
        <w:ind w:right="-425"/>
        <w:rPr>
          <w:lang w:val="en-US" w:eastAsia="ja-JP"/>
        </w:rPr>
      </w:pPr>
    </w:p>
    <w:p w:rsidR="00034BF4" w:rsidRPr="00D51AB8" w:rsidRDefault="00034BF4">
      <w:pPr>
        <w:spacing w:after="0"/>
        <w:rPr>
          <w:lang w:val="en-US" w:eastAsia="ja-JP"/>
        </w:rPr>
      </w:pPr>
      <w:r w:rsidRPr="00D51AB8">
        <w:rPr>
          <w:lang w:val="en-US" w:eastAsia="ja-JP"/>
        </w:rPr>
        <w:br w:type="page"/>
      </w:r>
    </w:p>
    <w:p w:rsidR="00034BF4" w:rsidRPr="00D51AB8" w:rsidRDefault="00034BF4" w:rsidP="00CC0CC2">
      <w:pPr>
        <w:rPr>
          <w:lang w:val="en-US" w:eastAsia="ja-JP"/>
        </w:rPr>
      </w:pPr>
    </w:p>
    <w:p w:rsidR="000D261D" w:rsidRPr="00D51AB8" w:rsidRDefault="000D261D" w:rsidP="000D261D">
      <w:pPr>
        <w:pStyle w:val="Heading2"/>
        <w:rPr>
          <w:lang w:val="en-US" w:eastAsia="ja-JP"/>
        </w:rPr>
      </w:pPr>
      <w:r w:rsidRPr="00D51AB8">
        <w:rPr>
          <w:lang w:val="en-US" w:eastAsia="ja-JP"/>
        </w:rPr>
        <w:t>ETU500 propagation condition</w:t>
      </w:r>
    </w:p>
    <w:p w:rsidR="00CC0CC2" w:rsidRPr="00D51AB8" w:rsidRDefault="00B15786" w:rsidP="00B15786">
      <w:pPr>
        <w:ind w:right="709"/>
        <w:jc w:val="both"/>
        <w:rPr>
          <w:lang w:val="en-US" w:eastAsia="ja-JP"/>
        </w:rPr>
      </w:pPr>
      <w:r w:rsidRPr="00D03239">
        <w:rPr>
          <w:sz w:val="22"/>
          <w:szCs w:val="22"/>
        </w:rPr>
        <w:t xml:space="preserve">The simulation results </w:t>
      </w:r>
      <w:r>
        <w:rPr>
          <w:sz w:val="22"/>
          <w:szCs w:val="22"/>
        </w:rPr>
        <w:t>ETU500</w:t>
      </w:r>
      <w:r w:rsidRPr="00D03239">
        <w:rPr>
          <w:sz w:val="22"/>
          <w:szCs w:val="22"/>
        </w:rPr>
        <w:t xml:space="preserve"> propagation conditions with carrie</w:t>
      </w:r>
      <w:r>
        <w:rPr>
          <w:sz w:val="22"/>
          <w:szCs w:val="22"/>
        </w:rPr>
        <w:t xml:space="preserve">r frequency offset of </w:t>
      </w:r>
      <w:r w:rsidRPr="00D03239">
        <w:rPr>
          <w:sz w:val="22"/>
          <w:szCs w:val="22"/>
        </w:rPr>
        <w:t>0Hz are provided in</w:t>
      </w:r>
      <w:r>
        <w:rPr>
          <w:sz w:val="22"/>
          <w:szCs w:val="22"/>
        </w:rPr>
        <w:t xml:space="preserve"> </w:t>
      </w:r>
      <w:r w:rsidRPr="00B15786">
        <w:rPr>
          <w:sz w:val="22"/>
          <w:szCs w:val="22"/>
        </w:rPr>
        <w:fldChar w:fldCharType="begin"/>
      </w:r>
      <w:r w:rsidRPr="00B15786">
        <w:rPr>
          <w:sz w:val="22"/>
          <w:szCs w:val="22"/>
        </w:rPr>
        <w:instrText xml:space="preserve"> REF _Ref458765825 \h </w:instrText>
      </w:r>
      <w:r>
        <w:rPr>
          <w:sz w:val="22"/>
          <w:szCs w:val="22"/>
        </w:rPr>
        <w:instrText xml:space="preserve"> \* MERGEFORMAT </w:instrText>
      </w:r>
      <w:r w:rsidRPr="00B15786">
        <w:rPr>
          <w:sz w:val="22"/>
          <w:szCs w:val="22"/>
        </w:rPr>
      </w:r>
      <w:r w:rsidRPr="00B15786">
        <w:rPr>
          <w:sz w:val="22"/>
          <w:szCs w:val="22"/>
        </w:rPr>
        <w:fldChar w:fldCharType="separate"/>
      </w:r>
      <w:r w:rsidR="00CB73A7" w:rsidRPr="00B87477">
        <w:rPr>
          <w:sz w:val="22"/>
          <w:szCs w:val="22"/>
          <w:lang w:val="en-US"/>
        </w:rPr>
        <w:t xml:space="preserve">Figure </w:t>
      </w:r>
      <w:r w:rsidR="00CB73A7" w:rsidRPr="00B87477">
        <w:rPr>
          <w:noProof/>
          <w:sz w:val="22"/>
          <w:szCs w:val="22"/>
          <w:lang w:val="en-US"/>
        </w:rPr>
        <w:t>5</w:t>
      </w:r>
      <w:r w:rsidRPr="00B15786">
        <w:rPr>
          <w:sz w:val="22"/>
          <w:szCs w:val="22"/>
        </w:rPr>
        <w:fldChar w:fldCharType="end"/>
      </w:r>
      <w:r w:rsidRPr="00D03239">
        <w:rPr>
          <w:sz w:val="22"/>
          <w:szCs w:val="22"/>
        </w:rPr>
        <w:t>, and the 5</w:t>
      </w:r>
      <w:r w:rsidRPr="00D03239">
        <w:rPr>
          <w:sz w:val="22"/>
          <w:szCs w:val="22"/>
          <w:vertAlign w:val="superscript"/>
        </w:rPr>
        <w:t>th</w:t>
      </w:r>
      <w:r w:rsidRPr="00D03239">
        <w:rPr>
          <w:sz w:val="22"/>
          <w:szCs w:val="22"/>
        </w:rPr>
        <w:t>, 50</w:t>
      </w:r>
      <w:r w:rsidRPr="00D03239">
        <w:rPr>
          <w:sz w:val="22"/>
          <w:szCs w:val="22"/>
          <w:vertAlign w:val="superscript"/>
        </w:rPr>
        <w:t>th</w:t>
      </w:r>
      <w:r w:rsidRPr="00D03239">
        <w:rPr>
          <w:sz w:val="22"/>
          <w:szCs w:val="22"/>
        </w:rPr>
        <w:t xml:space="preserve"> and 95</w:t>
      </w:r>
      <w:r w:rsidRPr="00D03239">
        <w:rPr>
          <w:sz w:val="22"/>
          <w:szCs w:val="22"/>
          <w:vertAlign w:val="superscript"/>
        </w:rPr>
        <w:t>th</w:t>
      </w:r>
      <w:r w:rsidRPr="00D03239">
        <w:rPr>
          <w:sz w:val="22"/>
          <w:szCs w:val="22"/>
        </w:rPr>
        <w:t xml:space="preserve"> percentiles of the d</w:t>
      </w:r>
      <w:r>
        <w:rPr>
          <w:sz w:val="22"/>
          <w:szCs w:val="22"/>
        </w:rPr>
        <w:t xml:space="preserve">eviations between measured and ideal </w:t>
      </w:r>
      <w:r w:rsidRPr="00D03239">
        <w:rPr>
          <w:sz w:val="22"/>
          <w:szCs w:val="22"/>
        </w:rPr>
        <w:t xml:space="preserve">RSRP </w:t>
      </w:r>
      <w:r>
        <w:rPr>
          <w:sz w:val="22"/>
          <w:szCs w:val="22"/>
        </w:rPr>
        <w:t xml:space="preserve">and RSRQ </w:t>
      </w:r>
      <w:r w:rsidRPr="00D03239">
        <w:rPr>
          <w:sz w:val="22"/>
          <w:szCs w:val="22"/>
        </w:rPr>
        <w:t>are provided i</w:t>
      </w:r>
      <w:r>
        <w:rPr>
          <w:sz w:val="22"/>
          <w:szCs w:val="22"/>
        </w:rPr>
        <w:t xml:space="preserve">n </w:t>
      </w:r>
      <w:r w:rsidRPr="00B15786">
        <w:rPr>
          <w:sz w:val="22"/>
          <w:szCs w:val="22"/>
        </w:rPr>
        <w:fldChar w:fldCharType="begin"/>
      </w:r>
      <w:r w:rsidRPr="00B15786">
        <w:rPr>
          <w:sz w:val="22"/>
          <w:szCs w:val="22"/>
        </w:rPr>
        <w:instrText xml:space="preserve"> REF _Ref458765875 \h </w:instrText>
      </w:r>
      <w:r>
        <w:rPr>
          <w:sz w:val="22"/>
          <w:szCs w:val="22"/>
        </w:rPr>
        <w:instrText xml:space="preserve"> \* MERGEFORMAT </w:instrText>
      </w:r>
      <w:r w:rsidRPr="00B15786">
        <w:rPr>
          <w:sz w:val="22"/>
          <w:szCs w:val="22"/>
        </w:rPr>
      </w:r>
      <w:r w:rsidRPr="00B15786">
        <w:rPr>
          <w:sz w:val="22"/>
          <w:szCs w:val="22"/>
        </w:rPr>
        <w:fldChar w:fldCharType="separate"/>
      </w:r>
      <w:r w:rsidR="00CB73A7" w:rsidRPr="00B87477">
        <w:rPr>
          <w:sz w:val="22"/>
          <w:szCs w:val="22"/>
          <w:lang w:val="en-US"/>
        </w:rPr>
        <w:t xml:space="preserve">Table </w:t>
      </w:r>
      <w:r w:rsidR="00CB73A7" w:rsidRPr="00B87477">
        <w:rPr>
          <w:noProof/>
          <w:sz w:val="22"/>
          <w:szCs w:val="22"/>
          <w:lang w:val="en-US"/>
        </w:rPr>
        <w:t>3</w:t>
      </w:r>
      <w:r w:rsidRPr="00B15786">
        <w:rPr>
          <w:sz w:val="22"/>
          <w:szCs w:val="22"/>
        </w:rPr>
        <w:fldChar w:fldCharType="end"/>
      </w:r>
      <w:r w:rsidRPr="00D03239">
        <w:rPr>
          <w:sz w:val="22"/>
          <w:szCs w:val="22"/>
        </w:rPr>
        <w:t>.</w:t>
      </w:r>
    </w:p>
    <w:p w:rsidR="00327A77" w:rsidRPr="00D51AB8" w:rsidRDefault="00CC0CC2" w:rsidP="00D51AB8">
      <w:pPr>
        <w:keepNext/>
        <w:ind w:right="-284"/>
        <w:jc w:val="center"/>
        <w:rPr>
          <w:lang w:val="en-US"/>
        </w:rPr>
      </w:pPr>
      <w:r w:rsidRPr="00D51AB8">
        <w:rPr>
          <w:noProof/>
          <w:lang w:val="sv-SE" w:eastAsia="zh-CN"/>
        </w:rPr>
        <w:drawing>
          <wp:inline distT="0" distB="0" distL="0" distR="0" wp14:anchorId="1258C22D" wp14:editId="721DE514">
            <wp:extent cx="3319200" cy="2448000"/>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319200" cy="2448000"/>
                    </a:xfrm>
                    <a:prstGeom prst="rect">
                      <a:avLst/>
                    </a:prstGeom>
                  </pic:spPr>
                </pic:pic>
              </a:graphicData>
            </a:graphic>
          </wp:inline>
        </w:drawing>
      </w:r>
      <w:r w:rsidRPr="00D51AB8">
        <w:rPr>
          <w:noProof/>
          <w:lang w:val="sv-SE" w:eastAsia="zh-CN"/>
        </w:rPr>
        <w:drawing>
          <wp:inline distT="0" distB="0" distL="0" distR="0" wp14:anchorId="7FEA1AF6" wp14:editId="53194262">
            <wp:extent cx="3319200" cy="2448000"/>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319200" cy="2448000"/>
                    </a:xfrm>
                    <a:prstGeom prst="rect">
                      <a:avLst/>
                    </a:prstGeom>
                  </pic:spPr>
                </pic:pic>
              </a:graphicData>
            </a:graphic>
          </wp:inline>
        </w:drawing>
      </w:r>
    </w:p>
    <w:p w:rsidR="00CC0CC2" w:rsidRPr="00D51AB8" w:rsidRDefault="00327A77" w:rsidP="00D51AB8">
      <w:pPr>
        <w:pStyle w:val="Caption"/>
        <w:ind w:right="709"/>
        <w:jc w:val="left"/>
        <w:rPr>
          <w:lang w:val="en-US"/>
        </w:rPr>
      </w:pPr>
      <w:bookmarkStart w:id="8" w:name="_Ref458765825"/>
      <w:r w:rsidRPr="00D51AB8">
        <w:rPr>
          <w:lang w:val="en-US"/>
        </w:rPr>
        <w:t xml:space="preserve">Figure </w:t>
      </w:r>
      <w:r w:rsidRPr="00D51AB8">
        <w:rPr>
          <w:lang w:val="en-US"/>
        </w:rPr>
        <w:fldChar w:fldCharType="begin"/>
      </w:r>
      <w:r w:rsidRPr="00D51AB8">
        <w:rPr>
          <w:lang w:val="en-US"/>
        </w:rPr>
        <w:instrText xml:space="preserve"> SEQ Figure \* ARABIC </w:instrText>
      </w:r>
      <w:r w:rsidRPr="00D51AB8">
        <w:rPr>
          <w:lang w:val="en-US"/>
        </w:rPr>
        <w:fldChar w:fldCharType="separate"/>
      </w:r>
      <w:r w:rsidR="00CB73A7">
        <w:rPr>
          <w:noProof/>
          <w:lang w:val="en-US"/>
        </w:rPr>
        <w:t>5</w:t>
      </w:r>
      <w:r w:rsidRPr="00D51AB8">
        <w:rPr>
          <w:lang w:val="en-US"/>
        </w:rPr>
        <w:fldChar w:fldCharType="end"/>
      </w:r>
      <w:bookmarkEnd w:id="8"/>
      <w:r w:rsidRPr="00D51AB8">
        <w:rPr>
          <w:lang w:val="en-US"/>
        </w:rPr>
        <w:t>:</w:t>
      </w:r>
      <w:r w:rsidRPr="00D51AB8">
        <w:rPr>
          <w:b w:val="0"/>
          <w:lang w:val="en-US"/>
        </w:rPr>
        <w:t xml:space="preserve"> </w:t>
      </w:r>
      <w:r w:rsidR="00F51C0E" w:rsidRPr="00D51AB8">
        <w:rPr>
          <w:b w:val="0"/>
          <w:lang w:val="en-US"/>
        </w:rPr>
        <w:t>Measurement performance for (left): RSRP and (right): RSRQ for SNR range -10 to 10 dB. Propagation condition ETU500, CFO 0Hz. Percentiles: 5</w:t>
      </w:r>
      <w:r w:rsidR="00F51C0E" w:rsidRPr="00D51AB8">
        <w:rPr>
          <w:b w:val="0"/>
          <w:vertAlign w:val="superscript"/>
          <w:lang w:val="en-US"/>
        </w:rPr>
        <w:t>th</w:t>
      </w:r>
      <w:r w:rsidR="00F51C0E" w:rsidRPr="00D51AB8">
        <w:rPr>
          <w:b w:val="0"/>
          <w:lang w:val="en-US"/>
        </w:rPr>
        <w:t>, 50</w:t>
      </w:r>
      <w:r w:rsidR="00F51C0E" w:rsidRPr="00D51AB8">
        <w:rPr>
          <w:b w:val="0"/>
          <w:vertAlign w:val="superscript"/>
          <w:lang w:val="en-US"/>
        </w:rPr>
        <w:t>th</w:t>
      </w:r>
      <w:r w:rsidR="00F51C0E" w:rsidRPr="00D51AB8">
        <w:rPr>
          <w:b w:val="0"/>
          <w:lang w:val="en-US"/>
        </w:rPr>
        <w:t xml:space="preserve"> and 95</w:t>
      </w:r>
      <w:r w:rsidR="00F51C0E" w:rsidRPr="00D51AB8">
        <w:rPr>
          <w:b w:val="0"/>
          <w:vertAlign w:val="superscript"/>
          <w:lang w:val="en-US"/>
        </w:rPr>
        <w:t>th</w:t>
      </w:r>
      <w:r w:rsidR="00F51C0E" w:rsidRPr="00D51AB8">
        <w:rPr>
          <w:b w:val="0"/>
          <w:lang w:val="en-US"/>
        </w:rPr>
        <w:t>.</w:t>
      </w:r>
    </w:p>
    <w:p w:rsidR="00327A77" w:rsidRPr="00D51AB8" w:rsidRDefault="00327A77" w:rsidP="00327A77">
      <w:pPr>
        <w:rPr>
          <w:lang w:val="en-US" w:eastAsia="ja-JP"/>
        </w:rPr>
      </w:pPr>
    </w:p>
    <w:p w:rsidR="00034BF4" w:rsidRPr="00D51AB8" w:rsidRDefault="00034BF4" w:rsidP="00327A77">
      <w:pPr>
        <w:rPr>
          <w:lang w:val="en-US" w:eastAsia="ja-JP"/>
        </w:rPr>
      </w:pPr>
    </w:p>
    <w:p w:rsidR="00232B00" w:rsidRPr="00D51AB8" w:rsidRDefault="00034BF4" w:rsidP="00D51AB8">
      <w:pPr>
        <w:pStyle w:val="Caption"/>
        <w:keepNext/>
        <w:ind w:right="993"/>
        <w:jc w:val="left"/>
        <w:rPr>
          <w:b w:val="0"/>
          <w:lang w:val="en-US"/>
        </w:rPr>
      </w:pPr>
      <w:bookmarkStart w:id="9" w:name="_Ref458765875"/>
      <w:r w:rsidRPr="00D51AB8">
        <w:rPr>
          <w:lang w:val="en-US"/>
        </w:rPr>
        <w:t xml:space="preserve">Table </w:t>
      </w:r>
      <w:r w:rsidRPr="00D51AB8">
        <w:rPr>
          <w:lang w:val="en-US"/>
        </w:rPr>
        <w:fldChar w:fldCharType="begin"/>
      </w:r>
      <w:r w:rsidRPr="00D51AB8">
        <w:rPr>
          <w:lang w:val="en-US"/>
        </w:rPr>
        <w:instrText xml:space="preserve"> SEQ Table \* ARABIC </w:instrText>
      </w:r>
      <w:r w:rsidRPr="00D51AB8">
        <w:rPr>
          <w:lang w:val="en-US"/>
        </w:rPr>
        <w:fldChar w:fldCharType="separate"/>
      </w:r>
      <w:r w:rsidR="00CB73A7">
        <w:rPr>
          <w:noProof/>
          <w:lang w:val="en-US"/>
        </w:rPr>
        <w:t>3</w:t>
      </w:r>
      <w:r w:rsidRPr="00D51AB8">
        <w:rPr>
          <w:lang w:val="en-US"/>
        </w:rPr>
        <w:fldChar w:fldCharType="end"/>
      </w:r>
      <w:bookmarkEnd w:id="9"/>
      <w:r w:rsidRPr="00D51AB8">
        <w:rPr>
          <w:lang w:val="en-US"/>
        </w:rPr>
        <w:t>:</w:t>
      </w:r>
      <w:r w:rsidRPr="00D51AB8">
        <w:rPr>
          <w:b w:val="0"/>
          <w:lang w:val="en-US"/>
        </w:rPr>
        <w:t xml:space="preserve"> </w:t>
      </w:r>
      <w:r w:rsidR="00232B00" w:rsidRPr="00D51AB8">
        <w:rPr>
          <w:b w:val="0"/>
          <w:lang w:val="en-US"/>
        </w:rPr>
        <w:t xml:space="preserve">Percentiles for deviations from ideal RSRP and RSRQ. Propagation condition ETU500 with CFO 0Hz. </w:t>
      </w:r>
    </w:p>
    <w:p w:rsidR="00034BF4" w:rsidRPr="00D51AB8" w:rsidRDefault="00034BF4" w:rsidP="00034BF4">
      <w:pPr>
        <w:pStyle w:val="Caption"/>
        <w:keepNext/>
        <w:rPr>
          <w:b w:val="0"/>
          <w:lang w:val="en-US"/>
        </w:rPr>
      </w:pP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tblGrid>
      <w:tr w:rsidR="00034BF4" w:rsidRPr="00D51AB8" w:rsidTr="00034BF4">
        <w:trPr>
          <w:trHeight w:val="300"/>
          <w:jc w:val="center"/>
        </w:trPr>
        <w:tc>
          <w:tcPr>
            <w:tcW w:w="960" w:type="dxa"/>
            <w:vMerge w:val="restart"/>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SNR</w:t>
            </w:r>
          </w:p>
        </w:tc>
        <w:tc>
          <w:tcPr>
            <w:tcW w:w="5760" w:type="dxa"/>
            <w:gridSpan w:val="6"/>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Δ [dB]</w:t>
            </w:r>
          </w:p>
        </w:tc>
      </w:tr>
      <w:tr w:rsidR="00034BF4" w:rsidRPr="00D51AB8" w:rsidTr="00034BF4">
        <w:trPr>
          <w:trHeight w:val="300"/>
          <w:jc w:val="center"/>
        </w:trPr>
        <w:tc>
          <w:tcPr>
            <w:tcW w:w="960" w:type="dxa"/>
            <w:vMerge/>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p>
        </w:tc>
        <w:tc>
          <w:tcPr>
            <w:tcW w:w="2880" w:type="dxa"/>
            <w:gridSpan w:val="3"/>
            <w:tcBorders>
              <w:left w:val="double" w:sz="4" w:space="0" w:color="auto"/>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RSRP</w:t>
            </w:r>
          </w:p>
        </w:tc>
        <w:tc>
          <w:tcPr>
            <w:tcW w:w="2880" w:type="dxa"/>
            <w:gridSpan w:val="3"/>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RSRQ</w:t>
            </w:r>
          </w:p>
        </w:tc>
      </w:tr>
      <w:tr w:rsidR="00034BF4" w:rsidRPr="00D51AB8" w:rsidTr="00034BF4">
        <w:trPr>
          <w:trHeight w:val="300"/>
          <w:jc w:val="center"/>
        </w:trPr>
        <w:tc>
          <w:tcPr>
            <w:tcW w:w="960" w:type="dxa"/>
            <w:vMerge/>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color w:val="000000"/>
                <w:sz w:val="18"/>
                <w:lang w:val="en-US" w:eastAsia="zh-CN"/>
              </w:rPr>
            </w:pP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5th</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50th</w:t>
            </w:r>
          </w:p>
        </w:tc>
        <w:tc>
          <w:tcPr>
            <w:tcW w:w="960" w:type="dxa"/>
            <w:tcBorders>
              <w:righ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95th</w:t>
            </w:r>
          </w:p>
        </w:tc>
        <w:tc>
          <w:tcPr>
            <w:tcW w:w="960" w:type="dxa"/>
            <w:tcBorders>
              <w:left w:val="double" w:sz="4" w:space="0" w:color="auto"/>
            </w:tcBorders>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5th</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50th</w:t>
            </w:r>
          </w:p>
        </w:tc>
        <w:tc>
          <w:tcPr>
            <w:tcW w:w="960" w:type="dxa"/>
            <w:shd w:val="clear" w:color="auto" w:fill="auto"/>
            <w:noWrap/>
            <w:vAlign w:val="center"/>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95th</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0,58</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2,18</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3,55</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2,16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3,43</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1,67</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2,96</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0,23</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2,86</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1,43</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2,82</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1,37</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2,59</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1,07</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2,39</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-0,23</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1,01</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2,12</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-0,60</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0,82</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2,25</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-0,50</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0,74</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1,93</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-0,90</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0,43</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1,75</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0,38</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1,40</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-1,00</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1,59</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-0,87</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0,21</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1,16</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-1,38</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0,06</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1,53</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-0,01</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1,00</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0,03</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1,39</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-1,11</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-0,11</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0,77</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0,16</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1,55</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-0,99</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-0,07</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0,75</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0</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-1,53</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-0,04</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1,47</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-1,19</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0,55</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-1,48</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-0,07</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1,42</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-1,13</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-0,33</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0,39</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-1,47</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0,00</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1,49</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-1,09</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-0,35</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-1,69</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-0,18</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1,37</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-0,47</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0,16</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-2,06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-0,56</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0,94</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-1,35</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-0,08</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-1,89</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-0,56</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1,14</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-1,25</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-0,67</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-0,09</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-0,34</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1,09</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-1,22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-0,64</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-0,18</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lastRenderedPageBreak/>
              <w:t>7</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-0,39</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1,31</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-1,16</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-0,68</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-0,22</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-1,68</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-0,29</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1,14</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-1,14</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-0,67</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-0,30</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-1,73</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-0,39</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0,97</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-1,11</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-0,70</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-0,37</w:t>
            </w:r>
          </w:p>
        </w:tc>
      </w:tr>
      <w:tr w:rsidR="00034BF4" w:rsidRPr="00D51AB8" w:rsidTr="00034BF4">
        <w:trPr>
          <w:trHeight w:val="300"/>
          <w:jc w:val="center"/>
        </w:trPr>
        <w:tc>
          <w:tcPr>
            <w:tcW w:w="960" w:type="dxa"/>
            <w:tcBorders>
              <w:right w:val="double" w:sz="4" w:space="0" w:color="auto"/>
            </w:tcBorders>
            <w:shd w:val="clear" w:color="auto" w:fill="auto"/>
            <w:noWrap/>
            <w:vAlign w:val="center"/>
            <w:hideMark/>
          </w:tcPr>
          <w:p w:rsidR="00034BF4" w:rsidRPr="00D51AB8" w:rsidRDefault="00034BF4" w:rsidP="00034BF4">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-1,80</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-0,24</w:t>
            </w:r>
          </w:p>
        </w:tc>
        <w:tc>
          <w:tcPr>
            <w:tcW w:w="960" w:type="dxa"/>
            <w:tcBorders>
              <w:righ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1,18</w:t>
            </w:r>
          </w:p>
        </w:tc>
        <w:tc>
          <w:tcPr>
            <w:tcW w:w="960" w:type="dxa"/>
            <w:tcBorders>
              <w:left w:val="double" w:sz="4" w:space="0" w:color="auto"/>
            </w:tcBorders>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-1,12</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-0,68</w:t>
            </w:r>
          </w:p>
        </w:tc>
        <w:tc>
          <w:tcPr>
            <w:tcW w:w="960" w:type="dxa"/>
            <w:shd w:val="clear" w:color="auto" w:fill="auto"/>
            <w:noWrap/>
          </w:tcPr>
          <w:p w:rsidR="00034BF4" w:rsidRPr="00D51AB8" w:rsidRDefault="00034BF4" w:rsidP="00034BF4">
            <w:pPr>
              <w:spacing w:after="0"/>
              <w:jc w:val="center"/>
              <w:rPr>
                <w:rFonts w:asciiTheme="minorHAnsi" w:eastAsia="Times New Roman" w:hAnsiTheme="minorHAnsi"/>
                <w:color w:val="000000"/>
                <w:sz w:val="18"/>
                <w:lang w:val="en-US" w:eastAsia="zh-CN"/>
              </w:rPr>
            </w:pPr>
            <w:r w:rsidRPr="00D51AB8">
              <w:rPr>
                <w:rFonts w:asciiTheme="minorHAnsi" w:eastAsia="Times New Roman" w:hAnsiTheme="minorHAnsi"/>
                <w:color w:val="000000"/>
                <w:sz w:val="18"/>
                <w:lang w:val="en-US" w:eastAsia="zh-CN"/>
              </w:rPr>
              <w:t>-0,36</w:t>
            </w:r>
          </w:p>
        </w:tc>
      </w:tr>
    </w:tbl>
    <w:p w:rsidR="00034BF4" w:rsidRPr="00D51AB8" w:rsidRDefault="00034BF4" w:rsidP="00327A77">
      <w:pPr>
        <w:rPr>
          <w:lang w:val="en-US" w:eastAsia="ja-JP"/>
        </w:rPr>
      </w:pPr>
    </w:p>
    <w:p w:rsidR="00327A77" w:rsidRPr="00D51AB8" w:rsidRDefault="00327A77" w:rsidP="00D51AB8">
      <w:pPr>
        <w:keepNext/>
        <w:ind w:right="-142"/>
        <w:jc w:val="center"/>
        <w:rPr>
          <w:lang w:val="en-US"/>
        </w:rPr>
      </w:pPr>
    </w:p>
    <w:p w:rsidR="00E838CC" w:rsidRPr="00D51AB8" w:rsidRDefault="00E838CC" w:rsidP="00CC0CC2">
      <w:pPr>
        <w:jc w:val="center"/>
        <w:rPr>
          <w:lang w:val="en-US" w:eastAsia="ja-JP"/>
        </w:rPr>
      </w:pPr>
    </w:p>
    <w:p w:rsidR="000D261D" w:rsidRDefault="00CC0CC2" w:rsidP="000D261D">
      <w:pPr>
        <w:pStyle w:val="Heading2"/>
        <w:rPr>
          <w:lang w:val="en-US" w:eastAsia="ja-JP"/>
        </w:rPr>
      </w:pPr>
      <w:r w:rsidRPr="00D51AB8">
        <w:rPr>
          <w:lang w:val="en-US" w:eastAsia="ja-JP"/>
        </w:rPr>
        <w:t>EVA</w:t>
      </w:r>
      <w:r w:rsidR="00D42958" w:rsidRPr="00C40B1C">
        <w:rPr>
          <w:lang w:val="en-US" w:eastAsia="ja-JP"/>
        </w:rPr>
        <w:t>1350</w:t>
      </w:r>
      <w:r w:rsidR="000D261D" w:rsidRPr="00D51AB8">
        <w:rPr>
          <w:lang w:val="en-US" w:eastAsia="ja-JP"/>
        </w:rPr>
        <w:t xml:space="preserve"> propagation condition</w:t>
      </w:r>
    </w:p>
    <w:p w:rsidR="00B15786" w:rsidRPr="00D51AB8" w:rsidRDefault="00B15786" w:rsidP="00B15786">
      <w:pPr>
        <w:ind w:right="709"/>
        <w:jc w:val="both"/>
        <w:rPr>
          <w:lang w:val="en-US" w:eastAsia="ja-JP"/>
        </w:rPr>
      </w:pPr>
      <w:r w:rsidRPr="00D03239">
        <w:rPr>
          <w:sz w:val="22"/>
          <w:szCs w:val="22"/>
        </w:rPr>
        <w:t xml:space="preserve">The simulation results </w:t>
      </w:r>
      <w:r w:rsidR="00D42958">
        <w:rPr>
          <w:sz w:val="22"/>
          <w:szCs w:val="22"/>
        </w:rPr>
        <w:t xml:space="preserve">for </w:t>
      </w:r>
      <w:r>
        <w:rPr>
          <w:sz w:val="22"/>
          <w:szCs w:val="22"/>
        </w:rPr>
        <w:t>EV</w:t>
      </w:r>
      <w:r w:rsidR="00D42958">
        <w:rPr>
          <w:sz w:val="22"/>
          <w:szCs w:val="22"/>
        </w:rPr>
        <w:t>A</w:t>
      </w:r>
      <w:r w:rsidR="00D42958" w:rsidRPr="00C40B1C">
        <w:rPr>
          <w:sz w:val="22"/>
          <w:szCs w:val="22"/>
        </w:rPr>
        <w:t>1350</w:t>
      </w:r>
      <w:r w:rsidRPr="00D03239">
        <w:rPr>
          <w:sz w:val="22"/>
          <w:szCs w:val="22"/>
        </w:rPr>
        <w:t xml:space="preserve"> propagation condition with carrie</w:t>
      </w:r>
      <w:r>
        <w:rPr>
          <w:sz w:val="22"/>
          <w:szCs w:val="22"/>
        </w:rPr>
        <w:t xml:space="preserve">r frequency offsets of </w:t>
      </w:r>
      <w:r w:rsidRPr="00D03239">
        <w:rPr>
          <w:sz w:val="22"/>
          <w:szCs w:val="22"/>
        </w:rPr>
        <w:t>0Hz are provided in</w:t>
      </w:r>
      <w:r w:rsidRPr="00B15786">
        <w:rPr>
          <w:sz w:val="22"/>
          <w:szCs w:val="22"/>
        </w:rPr>
        <w:t xml:space="preserve"> </w:t>
      </w:r>
      <w:r w:rsidRPr="00B15786">
        <w:rPr>
          <w:sz w:val="22"/>
          <w:szCs w:val="22"/>
        </w:rPr>
        <w:fldChar w:fldCharType="begin"/>
      </w:r>
      <w:r w:rsidRPr="00B15786">
        <w:rPr>
          <w:sz w:val="22"/>
          <w:szCs w:val="22"/>
        </w:rPr>
        <w:instrText xml:space="preserve"> REF _Ref458765965 \h </w:instrText>
      </w:r>
      <w:r>
        <w:rPr>
          <w:sz w:val="22"/>
          <w:szCs w:val="22"/>
        </w:rPr>
        <w:instrText xml:space="preserve"> \* MERGEFORMAT </w:instrText>
      </w:r>
      <w:r w:rsidRPr="00B15786">
        <w:rPr>
          <w:sz w:val="22"/>
          <w:szCs w:val="22"/>
        </w:rPr>
      </w:r>
      <w:r w:rsidRPr="00B15786">
        <w:rPr>
          <w:sz w:val="22"/>
          <w:szCs w:val="22"/>
        </w:rPr>
        <w:fldChar w:fldCharType="separate"/>
      </w:r>
      <w:r w:rsidR="00CB73A7" w:rsidRPr="00B87477">
        <w:rPr>
          <w:sz w:val="22"/>
          <w:szCs w:val="22"/>
          <w:lang w:val="en-US"/>
        </w:rPr>
        <w:t xml:space="preserve">Figure </w:t>
      </w:r>
      <w:r w:rsidR="00CB73A7" w:rsidRPr="00B87477">
        <w:rPr>
          <w:noProof/>
          <w:sz w:val="22"/>
          <w:szCs w:val="22"/>
          <w:lang w:val="en-US"/>
        </w:rPr>
        <w:t>6</w:t>
      </w:r>
      <w:r w:rsidRPr="00B15786">
        <w:rPr>
          <w:sz w:val="22"/>
          <w:szCs w:val="22"/>
        </w:rPr>
        <w:fldChar w:fldCharType="end"/>
      </w:r>
      <w:r w:rsidRPr="00D03239">
        <w:rPr>
          <w:sz w:val="22"/>
          <w:szCs w:val="22"/>
        </w:rPr>
        <w:t>, and the 5</w:t>
      </w:r>
      <w:r w:rsidRPr="00D03239">
        <w:rPr>
          <w:sz w:val="22"/>
          <w:szCs w:val="22"/>
          <w:vertAlign w:val="superscript"/>
        </w:rPr>
        <w:t>th</w:t>
      </w:r>
      <w:r w:rsidRPr="00D03239">
        <w:rPr>
          <w:sz w:val="22"/>
          <w:szCs w:val="22"/>
        </w:rPr>
        <w:t>, 50</w:t>
      </w:r>
      <w:r w:rsidRPr="00D03239">
        <w:rPr>
          <w:sz w:val="22"/>
          <w:szCs w:val="22"/>
          <w:vertAlign w:val="superscript"/>
        </w:rPr>
        <w:t>th</w:t>
      </w:r>
      <w:r w:rsidRPr="00D03239">
        <w:rPr>
          <w:sz w:val="22"/>
          <w:szCs w:val="22"/>
        </w:rPr>
        <w:t xml:space="preserve"> and 95</w:t>
      </w:r>
      <w:r w:rsidRPr="00D03239">
        <w:rPr>
          <w:sz w:val="22"/>
          <w:szCs w:val="22"/>
          <w:vertAlign w:val="superscript"/>
        </w:rPr>
        <w:t>th</w:t>
      </w:r>
      <w:r w:rsidRPr="00D03239">
        <w:rPr>
          <w:sz w:val="22"/>
          <w:szCs w:val="22"/>
        </w:rPr>
        <w:t xml:space="preserve"> percentiles of the d</w:t>
      </w:r>
      <w:r>
        <w:rPr>
          <w:sz w:val="22"/>
          <w:szCs w:val="22"/>
        </w:rPr>
        <w:t xml:space="preserve">eviations between measured and ideal </w:t>
      </w:r>
      <w:r w:rsidRPr="00D03239">
        <w:rPr>
          <w:sz w:val="22"/>
          <w:szCs w:val="22"/>
        </w:rPr>
        <w:t xml:space="preserve">RSRP </w:t>
      </w:r>
      <w:r>
        <w:rPr>
          <w:sz w:val="22"/>
          <w:szCs w:val="22"/>
        </w:rPr>
        <w:t xml:space="preserve">and RSRQ </w:t>
      </w:r>
      <w:r w:rsidRPr="00D03239">
        <w:rPr>
          <w:sz w:val="22"/>
          <w:szCs w:val="22"/>
        </w:rPr>
        <w:t>are provided i</w:t>
      </w:r>
      <w:r>
        <w:rPr>
          <w:sz w:val="22"/>
          <w:szCs w:val="22"/>
        </w:rPr>
        <w:t xml:space="preserve">n </w:t>
      </w:r>
      <w:r w:rsidRPr="00B15786">
        <w:rPr>
          <w:sz w:val="22"/>
          <w:szCs w:val="22"/>
        </w:rPr>
        <w:fldChar w:fldCharType="begin"/>
      </w:r>
      <w:r w:rsidRPr="00B15786">
        <w:rPr>
          <w:sz w:val="22"/>
          <w:szCs w:val="22"/>
        </w:rPr>
        <w:instrText xml:space="preserve"> REF _Ref458765988 \h </w:instrText>
      </w:r>
      <w:r>
        <w:rPr>
          <w:sz w:val="22"/>
          <w:szCs w:val="22"/>
        </w:rPr>
        <w:instrText xml:space="preserve"> \* MERGEFORMAT </w:instrText>
      </w:r>
      <w:r w:rsidRPr="00B15786">
        <w:rPr>
          <w:sz w:val="22"/>
          <w:szCs w:val="22"/>
        </w:rPr>
      </w:r>
      <w:r w:rsidRPr="00B15786">
        <w:rPr>
          <w:sz w:val="22"/>
          <w:szCs w:val="22"/>
        </w:rPr>
        <w:fldChar w:fldCharType="separate"/>
      </w:r>
      <w:r w:rsidR="00CB73A7" w:rsidRPr="00B87477">
        <w:rPr>
          <w:sz w:val="22"/>
          <w:szCs w:val="22"/>
          <w:lang w:val="en-US"/>
        </w:rPr>
        <w:t xml:space="preserve">Table </w:t>
      </w:r>
      <w:r w:rsidR="00CB73A7" w:rsidRPr="00B87477">
        <w:rPr>
          <w:noProof/>
          <w:sz w:val="22"/>
          <w:szCs w:val="22"/>
          <w:lang w:val="en-US"/>
        </w:rPr>
        <w:t>4</w:t>
      </w:r>
      <w:r w:rsidRPr="00B15786">
        <w:rPr>
          <w:sz w:val="22"/>
          <w:szCs w:val="22"/>
        </w:rPr>
        <w:fldChar w:fldCharType="end"/>
      </w:r>
      <w:r w:rsidRPr="00D03239">
        <w:rPr>
          <w:sz w:val="22"/>
          <w:szCs w:val="22"/>
        </w:rPr>
        <w:t>.</w:t>
      </w:r>
    </w:p>
    <w:p w:rsidR="00B15786" w:rsidRPr="00B15786" w:rsidRDefault="00B15786" w:rsidP="00B15786">
      <w:pPr>
        <w:rPr>
          <w:lang w:val="en-US" w:eastAsia="ja-JP"/>
        </w:rPr>
      </w:pPr>
    </w:p>
    <w:p w:rsidR="00327A77" w:rsidRPr="00D51AB8" w:rsidRDefault="009F1F6C" w:rsidP="00327A77">
      <w:pPr>
        <w:keepNext/>
        <w:jc w:val="center"/>
        <w:rPr>
          <w:lang w:val="en-US"/>
        </w:rPr>
      </w:pPr>
      <w:r w:rsidRPr="009F1F6C">
        <w:rPr>
          <w:noProof/>
          <w:lang w:val="sv-SE" w:eastAsia="zh-CN"/>
        </w:rPr>
        <w:drawing>
          <wp:inline distT="0" distB="0" distL="0" distR="0" wp14:anchorId="05DFA013" wp14:editId="6F0CAFBF">
            <wp:extent cx="2934000" cy="2199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34000" cy="2199600"/>
                    </a:xfrm>
                    <a:prstGeom prst="rect">
                      <a:avLst/>
                    </a:prstGeom>
                  </pic:spPr>
                </pic:pic>
              </a:graphicData>
            </a:graphic>
          </wp:inline>
        </w:drawing>
      </w:r>
      <w:r w:rsidRPr="009F1F6C">
        <w:rPr>
          <w:noProof/>
          <w:lang w:val="sv-SE" w:eastAsia="zh-CN"/>
        </w:rPr>
        <w:drawing>
          <wp:inline distT="0" distB="0" distL="0" distR="0" wp14:anchorId="1C785A7E" wp14:editId="50345662">
            <wp:extent cx="2934000" cy="2199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34000" cy="2199600"/>
                    </a:xfrm>
                    <a:prstGeom prst="rect">
                      <a:avLst/>
                    </a:prstGeom>
                  </pic:spPr>
                </pic:pic>
              </a:graphicData>
            </a:graphic>
          </wp:inline>
        </w:drawing>
      </w:r>
    </w:p>
    <w:p w:rsidR="00327A77" w:rsidRPr="00D51AB8" w:rsidRDefault="00327A77" w:rsidP="00D51AB8">
      <w:pPr>
        <w:pStyle w:val="Caption"/>
        <w:ind w:right="993"/>
        <w:jc w:val="left"/>
        <w:rPr>
          <w:lang w:val="en-US"/>
        </w:rPr>
      </w:pPr>
      <w:bookmarkStart w:id="10" w:name="_Ref458765965"/>
      <w:r w:rsidRPr="00D51AB8">
        <w:rPr>
          <w:lang w:val="en-US"/>
        </w:rPr>
        <w:t xml:space="preserve">Figure </w:t>
      </w:r>
      <w:r w:rsidRPr="00D51AB8">
        <w:rPr>
          <w:lang w:val="en-US"/>
        </w:rPr>
        <w:fldChar w:fldCharType="begin"/>
      </w:r>
      <w:r w:rsidRPr="00D51AB8">
        <w:rPr>
          <w:lang w:val="en-US"/>
        </w:rPr>
        <w:instrText xml:space="preserve"> SEQ Figure \* ARABIC </w:instrText>
      </w:r>
      <w:r w:rsidRPr="00D51AB8">
        <w:rPr>
          <w:lang w:val="en-US"/>
        </w:rPr>
        <w:fldChar w:fldCharType="separate"/>
      </w:r>
      <w:r w:rsidR="00CB73A7">
        <w:rPr>
          <w:noProof/>
          <w:lang w:val="en-US"/>
        </w:rPr>
        <w:t>6</w:t>
      </w:r>
      <w:r w:rsidRPr="00D51AB8">
        <w:rPr>
          <w:lang w:val="en-US"/>
        </w:rPr>
        <w:fldChar w:fldCharType="end"/>
      </w:r>
      <w:bookmarkEnd w:id="10"/>
      <w:r w:rsidRPr="00D51AB8">
        <w:rPr>
          <w:lang w:val="en-US"/>
        </w:rPr>
        <w:t xml:space="preserve">: </w:t>
      </w:r>
      <w:r w:rsidR="00F51C0E" w:rsidRPr="00D51AB8">
        <w:rPr>
          <w:b w:val="0"/>
          <w:lang w:val="en-US"/>
        </w:rPr>
        <w:t xml:space="preserve">Measurement performance for (left): RSRP and (right): RSRQ for SNR range -10 to 10 dB. Propagation condition </w:t>
      </w:r>
      <w:r w:rsidR="00F51C0E" w:rsidRPr="00C40B1C">
        <w:rPr>
          <w:b w:val="0"/>
          <w:lang w:val="en-US"/>
        </w:rPr>
        <w:t>EVA</w:t>
      </w:r>
      <w:r w:rsidR="00D42958" w:rsidRPr="00B87477">
        <w:rPr>
          <w:b w:val="0"/>
          <w:lang w:val="en-US"/>
        </w:rPr>
        <w:t>135</w:t>
      </w:r>
      <w:r w:rsidR="00F51C0E" w:rsidRPr="00C40B1C">
        <w:rPr>
          <w:b w:val="0"/>
          <w:lang w:val="en-US"/>
        </w:rPr>
        <w:t>0,</w:t>
      </w:r>
      <w:r w:rsidR="00F51C0E" w:rsidRPr="00D51AB8">
        <w:rPr>
          <w:b w:val="0"/>
          <w:lang w:val="en-US"/>
        </w:rPr>
        <w:t xml:space="preserve"> CFO 0Hz. Percentiles: 5</w:t>
      </w:r>
      <w:r w:rsidR="00F51C0E" w:rsidRPr="00D51AB8">
        <w:rPr>
          <w:b w:val="0"/>
          <w:vertAlign w:val="superscript"/>
          <w:lang w:val="en-US"/>
        </w:rPr>
        <w:t>th</w:t>
      </w:r>
      <w:r w:rsidR="00F51C0E" w:rsidRPr="00D51AB8">
        <w:rPr>
          <w:b w:val="0"/>
          <w:lang w:val="en-US"/>
        </w:rPr>
        <w:t>, 50</w:t>
      </w:r>
      <w:r w:rsidR="00F51C0E" w:rsidRPr="00D51AB8">
        <w:rPr>
          <w:b w:val="0"/>
          <w:vertAlign w:val="superscript"/>
          <w:lang w:val="en-US"/>
        </w:rPr>
        <w:t>th</w:t>
      </w:r>
      <w:r w:rsidR="00F51C0E" w:rsidRPr="00D51AB8">
        <w:rPr>
          <w:b w:val="0"/>
          <w:lang w:val="en-US"/>
        </w:rPr>
        <w:t xml:space="preserve"> and 95</w:t>
      </w:r>
      <w:r w:rsidR="00F51C0E" w:rsidRPr="00D51AB8">
        <w:rPr>
          <w:b w:val="0"/>
          <w:vertAlign w:val="superscript"/>
          <w:lang w:val="en-US"/>
        </w:rPr>
        <w:t>th</w:t>
      </w:r>
      <w:r w:rsidR="00F51C0E" w:rsidRPr="00D51AB8">
        <w:rPr>
          <w:b w:val="0"/>
          <w:lang w:val="en-US"/>
        </w:rPr>
        <w:t>.</w:t>
      </w:r>
    </w:p>
    <w:p w:rsidR="00E838CC" w:rsidRPr="00D51AB8" w:rsidRDefault="00E838CC" w:rsidP="00260B88">
      <w:pPr>
        <w:rPr>
          <w:lang w:val="en-US"/>
        </w:rPr>
      </w:pPr>
    </w:p>
    <w:p w:rsidR="0092398F" w:rsidRPr="00D51AB8" w:rsidRDefault="0092398F" w:rsidP="00D51AB8">
      <w:pPr>
        <w:pStyle w:val="Caption"/>
        <w:keepNext/>
        <w:ind w:right="993"/>
        <w:jc w:val="left"/>
        <w:rPr>
          <w:b w:val="0"/>
          <w:lang w:val="en-US"/>
        </w:rPr>
      </w:pPr>
      <w:bookmarkStart w:id="11" w:name="_Ref458765988"/>
      <w:r w:rsidRPr="00D51AB8">
        <w:rPr>
          <w:lang w:val="en-US"/>
        </w:rPr>
        <w:t xml:space="preserve">Table </w:t>
      </w:r>
      <w:r w:rsidRPr="00D51AB8">
        <w:rPr>
          <w:lang w:val="en-US"/>
        </w:rPr>
        <w:fldChar w:fldCharType="begin"/>
      </w:r>
      <w:r w:rsidRPr="00D51AB8">
        <w:rPr>
          <w:lang w:val="en-US"/>
        </w:rPr>
        <w:instrText xml:space="preserve"> SEQ Table \* ARABIC </w:instrText>
      </w:r>
      <w:r w:rsidRPr="00D51AB8">
        <w:rPr>
          <w:lang w:val="en-US"/>
        </w:rPr>
        <w:fldChar w:fldCharType="separate"/>
      </w:r>
      <w:r w:rsidR="00CB73A7">
        <w:rPr>
          <w:noProof/>
          <w:lang w:val="en-US"/>
        </w:rPr>
        <w:t>4</w:t>
      </w:r>
      <w:r w:rsidRPr="00D51AB8">
        <w:rPr>
          <w:lang w:val="en-US"/>
        </w:rPr>
        <w:fldChar w:fldCharType="end"/>
      </w:r>
      <w:bookmarkEnd w:id="11"/>
      <w:r w:rsidRPr="00D51AB8">
        <w:rPr>
          <w:lang w:val="en-US"/>
        </w:rPr>
        <w:t xml:space="preserve">: </w:t>
      </w:r>
      <w:r w:rsidR="00232B00" w:rsidRPr="00D51AB8">
        <w:rPr>
          <w:b w:val="0"/>
          <w:lang w:val="en-US"/>
        </w:rPr>
        <w:t xml:space="preserve">Percentiles for deviations from ideal RSRP and RSRQ. Propagation condition </w:t>
      </w:r>
      <w:r w:rsidR="00232B00" w:rsidRPr="00C40B1C">
        <w:rPr>
          <w:b w:val="0"/>
          <w:lang w:val="en-US"/>
        </w:rPr>
        <w:t>EVA</w:t>
      </w:r>
      <w:r w:rsidR="00D42958" w:rsidRPr="00C40B1C">
        <w:rPr>
          <w:b w:val="0"/>
          <w:lang w:val="en-US"/>
        </w:rPr>
        <w:t>1350</w:t>
      </w:r>
      <w:r w:rsidR="00232B00" w:rsidRPr="00C40B1C">
        <w:rPr>
          <w:b w:val="0"/>
          <w:lang w:val="en-US"/>
        </w:rPr>
        <w:t xml:space="preserve"> with CFO 0Hz.</w:t>
      </w:r>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gridCol w:w="960"/>
        <w:gridCol w:w="960"/>
        <w:gridCol w:w="960"/>
        <w:gridCol w:w="960"/>
      </w:tblGrid>
      <w:tr w:rsidR="0092398F" w:rsidRPr="00D51AB8" w:rsidTr="00F51C0E">
        <w:trPr>
          <w:trHeight w:val="300"/>
          <w:jc w:val="center"/>
        </w:trPr>
        <w:tc>
          <w:tcPr>
            <w:tcW w:w="960" w:type="dxa"/>
            <w:vMerge w:val="restart"/>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SNR</w:t>
            </w:r>
          </w:p>
        </w:tc>
        <w:tc>
          <w:tcPr>
            <w:tcW w:w="5760" w:type="dxa"/>
            <w:gridSpan w:val="6"/>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Δ [dB]</w:t>
            </w:r>
          </w:p>
        </w:tc>
      </w:tr>
      <w:tr w:rsidR="0092398F" w:rsidRPr="00D51AB8" w:rsidTr="00F51C0E">
        <w:trPr>
          <w:trHeight w:val="300"/>
          <w:jc w:val="center"/>
        </w:trPr>
        <w:tc>
          <w:tcPr>
            <w:tcW w:w="960" w:type="dxa"/>
            <w:vMerge/>
            <w:tcBorders>
              <w:right w:val="double" w:sz="4" w:space="0" w:color="auto"/>
            </w:tcBorders>
            <w:shd w:val="clear" w:color="auto" w:fill="auto"/>
            <w:noWrap/>
            <w:vAlign w:val="center"/>
          </w:tcPr>
          <w:p w:rsidR="0092398F" w:rsidRPr="00D51AB8" w:rsidRDefault="0092398F" w:rsidP="00F51C0E">
            <w:pPr>
              <w:spacing w:after="0"/>
              <w:jc w:val="center"/>
              <w:rPr>
                <w:rFonts w:asciiTheme="minorHAnsi" w:eastAsia="Times New Roman" w:hAnsiTheme="minorHAnsi"/>
                <w:color w:val="000000"/>
                <w:sz w:val="18"/>
                <w:lang w:val="en-US" w:eastAsia="zh-CN"/>
              </w:rPr>
            </w:pPr>
          </w:p>
        </w:tc>
        <w:tc>
          <w:tcPr>
            <w:tcW w:w="2880" w:type="dxa"/>
            <w:gridSpan w:val="3"/>
            <w:tcBorders>
              <w:left w:val="double" w:sz="4" w:space="0" w:color="auto"/>
              <w:right w:val="double" w:sz="4" w:space="0" w:color="auto"/>
            </w:tcBorders>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RSRP</w:t>
            </w:r>
          </w:p>
        </w:tc>
        <w:tc>
          <w:tcPr>
            <w:tcW w:w="2880" w:type="dxa"/>
            <w:gridSpan w:val="3"/>
            <w:tcBorders>
              <w:left w:val="double" w:sz="4" w:space="0" w:color="auto"/>
            </w:tcBorders>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RSRQ</w:t>
            </w:r>
          </w:p>
        </w:tc>
      </w:tr>
      <w:tr w:rsidR="0092398F" w:rsidRPr="00D51AB8" w:rsidTr="00F51C0E">
        <w:trPr>
          <w:trHeight w:val="300"/>
          <w:jc w:val="center"/>
        </w:trPr>
        <w:tc>
          <w:tcPr>
            <w:tcW w:w="960" w:type="dxa"/>
            <w:vMerge/>
            <w:tcBorders>
              <w:right w:val="double" w:sz="4" w:space="0" w:color="auto"/>
            </w:tcBorders>
            <w:shd w:val="clear" w:color="auto" w:fill="auto"/>
            <w:noWrap/>
            <w:vAlign w:val="center"/>
          </w:tcPr>
          <w:p w:rsidR="0092398F" w:rsidRPr="00D51AB8" w:rsidRDefault="0092398F" w:rsidP="00F51C0E">
            <w:pPr>
              <w:spacing w:after="0"/>
              <w:jc w:val="center"/>
              <w:rPr>
                <w:rFonts w:asciiTheme="minorHAnsi" w:eastAsia="Times New Roman" w:hAnsiTheme="minorHAnsi"/>
                <w:color w:val="000000"/>
                <w:sz w:val="18"/>
                <w:lang w:val="en-US" w:eastAsia="zh-CN"/>
              </w:rPr>
            </w:pPr>
          </w:p>
        </w:tc>
        <w:tc>
          <w:tcPr>
            <w:tcW w:w="960" w:type="dxa"/>
            <w:tcBorders>
              <w:left w:val="double" w:sz="4" w:space="0" w:color="auto"/>
            </w:tcBorders>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5th</w:t>
            </w:r>
          </w:p>
        </w:tc>
        <w:tc>
          <w:tcPr>
            <w:tcW w:w="960" w:type="dxa"/>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50th</w:t>
            </w:r>
          </w:p>
        </w:tc>
        <w:tc>
          <w:tcPr>
            <w:tcW w:w="960" w:type="dxa"/>
            <w:tcBorders>
              <w:right w:val="double" w:sz="4" w:space="0" w:color="auto"/>
            </w:tcBorders>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95th</w:t>
            </w:r>
          </w:p>
        </w:tc>
        <w:tc>
          <w:tcPr>
            <w:tcW w:w="960" w:type="dxa"/>
            <w:tcBorders>
              <w:left w:val="double" w:sz="4" w:space="0" w:color="auto"/>
            </w:tcBorders>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5th</w:t>
            </w:r>
          </w:p>
        </w:tc>
        <w:tc>
          <w:tcPr>
            <w:tcW w:w="960" w:type="dxa"/>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50th</w:t>
            </w:r>
          </w:p>
        </w:tc>
        <w:tc>
          <w:tcPr>
            <w:tcW w:w="960" w:type="dxa"/>
            <w:shd w:val="clear" w:color="auto" w:fill="auto"/>
            <w:noWrap/>
            <w:vAlign w:val="center"/>
          </w:tcPr>
          <w:p w:rsidR="0092398F" w:rsidRPr="00D51AB8" w:rsidRDefault="0092398F" w:rsidP="00F51C0E">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95th</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0,87</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2,25</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3,48</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0,91</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2,25</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3,43</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0,88</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2,01</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3,17</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0,85</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1,97</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3,05</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0,43</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1,64</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2,74</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0,45</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1,59</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2,59</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0,23</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1,34</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2,37</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0,26</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1,28</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2,23</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-0,15</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0,92</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2,00</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-0,04</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0,89</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1,80</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-0,30</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0,74</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1,79</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-0,17</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0,71</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1,55</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-0,25</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0,74</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1,71</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-0,18</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0,63</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1,36</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-0,53</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0,44</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1,52</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-0,36</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0,38</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1,13</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-2</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-0,66</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0,39</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1,58</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-0,46</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0,28</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1,03</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-0,93</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0,14</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1,33</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-0,63</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0,07</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0,76</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0</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-0,75</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0,19</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1,21</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-0,53</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0,06</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0,64</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-1,21</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0,03</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1,18</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-0,77</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-0,09</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0,47</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lastRenderedPageBreak/>
              <w:t>2</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-0,92</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0,04</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0,97</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-0,59</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-0,12</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0,31</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3</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-1,00</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0,00</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1,04</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-0,60</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-0,17</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0,28</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4</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-1,12</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-0,07</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0,94</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-0,66</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-0,24</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0,15</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5</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-1,35</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-0,07</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0,95</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-0,70</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-0,25</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0,08</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6</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-1,08</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-0,03</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1,04</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-0,62</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-0,28</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0,02</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7</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-0,67</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0,17</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1,14</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-0,50</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-0,26</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-0,02</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8</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-1,29</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-0,25</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0,97</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-0,64</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-0,35</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-0,09</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9</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-1,15</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-0,12</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0,89</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-0,59</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-0,34</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-0,13</w:t>
            </w:r>
          </w:p>
        </w:tc>
      </w:tr>
      <w:tr w:rsidR="009F1F6C" w:rsidRPr="00D51AB8" w:rsidTr="00B87477">
        <w:trPr>
          <w:trHeight w:val="300"/>
          <w:jc w:val="center"/>
        </w:trPr>
        <w:tc>
          <w:tcPr>
            <w:tcW w:w="960" w:type="dxa"/>
            <w:tcBorders>
              <w:right w:val="double" w:sz="4" w:space="0" w:color="auto"/>
            </w:tcBorders>
            <w:shd w:val="clear" w:color="auto" w:fill="auto"/>
            <w:noWrap/>
            <w:vAlign w:val="center"/>
            <w:hideMark/>
          </w:tcPr>
          <w:p w:rsidR="009F1F6C" w:rsidRPr="00D51AB8" w:rsidRDefault="009F1F6C" w:rsidP="009F1F6C">
            <w:pPr>
              <w:spacing w:after="0"/>
              <w:jc w:val="center"/>
              <w:rPr>
                <w:rFonts w:asciiTheme="minorHAnsi" w:eastAsia="Times New Roman" w:hAnsiTheme="minorHAnsi"/>
                <w:b/>
                <w:color w:val="000000"/>
                <w:sz w:val="18"/>
                <w:lang w:val="en-US" w:eastAsia="zh-CN"/>
              </w:rPr>
            </w:pPr>
            <w:r w:rsidRPr="00D51AB8">
              <w:rPr>
                <w:rFonts w:asciiTheme="minorHAnsi" w:eastAsia="Times New Roman" w:hAnsiTheme="minorHAnsi"/>
                <w:b/>
                <w:color w:val="000000"/>
                <w:sz w:val="18"/>
                <w:lang w:val="en-US" w:eastAsia="zh-CN"/>
              </w:rPr>
              <w:t>10</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-1,12</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-0,10</w:t>
            </w:r>
          </w:p>
        </w:tc>
        <w:tc>
          <w:tcPr>
            <w:tcW w:w="960" w:type="dxa"/>
            <w:tcBorders>
              <w:righ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1,03</w:t>
            </w:r>
          </w:p>
        </w:tc>
        <w:tc>
          <w:tcPr>
            <w:tcW w:w="960" w:type="dxa"/>
            <w:tcBorders>
              <w:left w:val="double" w:sz="4" w:space="0" w:color="auto"/>
            </w:tcBorders>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-0,58</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-0,36</w:t>
            </w:r>
          </w:p>
        </w:tc>
        <w:tc>
          <w:tcPr>
            <w:tcW w:w="960" w:type="dxa"/>
            <w:shd w:val="clear" w:color="auto" w:fill="auto"/>
            <w:noWrap/>
            <w:vAlign w:val="bottom"/>
          </w:tcPr>
          <w:p w:rsidR="009F1F6C" w:rsidRPr="00B87477" w:rsidRDefault="009F1F6C" w:rsidP="009F1F6C">
            <w:pPr>
              <w:spacing w:after="0"/>
              <w:jc w:val="center"/>
              <w:rPr>
                <w:rFonts w:asciiTheme="minorHAnsi" w:eastAsia="Times New Roman" w:hAnsiTheme="minorHAnsi"/>
                <w:color w:val="000000"/>
                <w:sz w:val="18"/>
                <w:szCs w:val="18"/>
                <w:highlight w:val="yellow"/>
                <w:lang w:val="en-US" w:eastAsia="zh-CN"/>
              </w:rPr>
            </w:pPr>
            <w:r w:rsidRPr="00B87477">
              <w:rPr>
                <w:rFonts w:ascii="Calibri" w:hAnsi="Calibri"/>
                <w:color w:val="000000"/>
                <w:sz w:val="18"/>
                <w:szCs w:val="18"/>
              </w:rPr>
              <w:t>-0,16</w:t>
            </w:r>
          </w:p>
        </w:tc>
      </w:tr>
    </w:tbl>
    <w:p w:rsidR="0092398F" w:rsidRPr="00D51AB8" w:rsidRDefault="0092398F" w:rsidP="00260B88">
      <w:pPr>
        <w:rPr>
          <w:lang w:val="en-US"/>
        </w:rPr>
      </w:pPr>
    </w:p>
    <w:p w:rsidR="00327A77" w:rsidRPr="00D51AB8" w:rsidRDefault="00327A77" w:rsidP="00327A77">
      <w:pPr>
        <w:keepNext/>
        <w:jc w:val="center"/>
        <w:rPr>
          <w:lang w:val="en-US"/>
        </w:rPr>
      </w:pPr>
    </w:p>
    <w:p w:rsidR="000B45BB" w:rsidRDefault="000B45BB" w:rsidP="00D51AB8">
      <w:pPr>
        <w:pStyle w:val="Heading1"/>
        <w:ind w:right="993"/>
        <w:rPr>
          <w:lang w:val="en-US"/>
        </w:rPr>
      </w:pPr>
      <w:r w:rsidRPr="00D51AB8">
        <w:rPr>
          <w:lang w:val="en-US"/>
        </w:rPr>
        <w:t>Summary and Conclusion</w:t>
      </w:r>
    </w:p>
    <w:p w:rsidR="00E543C6" w:rsidRDefault="00E543C6" w:rsidP="00B87477">
      <w:pPr>
        <w:ind w:right="709"/>
        <w:jc w:val="both"/>
        <w:rPr>
          <w:sz w:val="22"/>
          <w:szCs w:val="22"/>
        </w:rPr>
      </w:pPr>
      <w:r w:rsidRPr="00B87477">
        <w:rPr>
          <w:sz w:val="22"/>
          <w:szCs w:val="22"/>
        </w:rPr>
        <w:t xml:space="preserve">We have </w:t>
      </w:r>
      <w:r>
        <w:rPr>
          <w:sz w:val="22"/>
          <w:szCs w:val="22"/>
        </w:rPr>
        <w:t xml:space="preserve">provided simulation results for RSRP and RSRQ measurement accuracy for the propagation conditions AWGN with 1350Hz frequency offset (modelling Doppler effect on LOS channel), EVA1350, and ETU500. The simulation assumptions cover the case where the vehicle is moving at maximum absolute speed 250km/h and where the RAN carrier frequency is 5.9GHz. This particular carrier frequency is not likely to be used for RAN since it is the ITS band, but the original V2V WID does not preclude RAN operation at that carrier frequency. </w:t>
      </w:r>
      <w:r w:rsidR="001B7EA1">
        <w:rPr>
          <w:sz w:val="22"/>
          <w:szCs w:val="22"/>
        </w:rPr>
        <w:t xml:space="preserve">Operating at a lower carrier frequency the performance will be somewhat better although not dramatically since the symbol-based RSRP estimator used in the simulations (and previously qualified in commercial products) is robust against frequency offsets as shown in </w:t>
      </w:r>
      <w:r w:rsidR="001B7EA1" w:rsidRPr="00B87477">
        <w:rPr>
          <w:sz w:val="22"/>
          <w:szCs w:val="22"/>
        </w:rPr>
        <w:fldChar w:fldCharType="begin"/>
      </w:r>
      <w:r w:rsidR="001B7EA1" w:rsidRPr="00B87477">
        <w:rPr>
          <w:sz w:val="22"/>
          <w:szCs w:val="22"/>
        </w:rPr>
        <w:instrText xml:space="preserve"> REF _Ref458764730 \h </w:instrText>
      </w:r>
      <w:r w:rsidR="001B7EA1">
        <w:rPr>
          <w:sz w:val="22"/>
          <w:szCs w:val="22"/>
        </w:rPr>
        <w:instrText xml:space="preserve"> \* MERGEFORMAT </w:instrText>
      </w:r>
      <w:r w:rsidR="001B7EA1" w:rsidRPr="00B87477">
        <w:rPr>
          <w:sz w:val="22"/>
          <w:szCs w:val="22"/>
        </w:rPr>
      </w:r>
      <w:r w:rsidR="001B7EA1" w:rsidRPr="00B87477">
        <w:rPr>
          <w:sz w:val="22"/>
          <w:szCs w:val="22"/>
        </w:rPr>
        <w:fldChar w:fldCharType="separate"/>
      </w:r>
      <w:r w:rsidR="001B7EA1" w:rsidRPr="00B87477">
        <w:rPr>
          <w:sz w:val="22"/>
          <w:szCs w:val="22"/>
          <w:lang w:val="en-US"/>
        </w:rPr>
        <w:t xml:space="preserve">Figure </w:t>
      </w:r>
      <w:r w:rsidR="001B7EA1" w:rsidRPr="00B87477">
        <w:rPr>
          <w:noProof/>
          <w:sz w:val="22"/>
          <w:szCs w:val="22"/>
          <w:lang w:val="en-US"/>
        </w:rPr>
        <w:t>3</w:t>
      </w:r>
      <w:r w:rsidR="001B7EA1" w:rsidRPr="00B87477">
        <w:rPr>
          <w:sz w:val="22"/>
          <w:szCs w:val="22"/>
        </w:rPr>
        <w:fldChar w:fldCharType="end"/>
      </w:r>
      <w:r w:rsidR="001B7EA1">
        <w:rPr>
          <w:sz w:val="22"/>
          <w:szCs w:val="22"/>
        </w:rPr>
        <w:t>.</w:t>
      </w:r>
    </w:p>
    <w:p w:rsidR="00FD7169" w:rsidRDefault="00FD7169" w:rsidP="00FD7169">
      <w:pPr>
        <w:ind w:right="709"/>
        <w:jc w:val="both"/>
        <w:rPr>
          <w:sz w:val="22"/>
          <w:szCs w:val="22"/>
        </w:rPr>
      </w:pPr>
      <w:r>
        <w:rPr>
          <w:sz w:val="22"/>
          <w:szCs w:val="22"/>
        </w:rPr>
        <w:t xml:space="preserve">The simulation results indicate that for SNR -6dB or higher, the </w:t>
      </w:r>
      <w:r w:rsidRPr="009F195A">
        <w:rPr>
          <w:sz w:val="22"/>
          <w:szCs w:val="22"/>
        </w:rPr>
        <w:t xml:space="preserve">largest absolute value of </w:t>
      </w:r>
      <w:r>
        <w:rPr>
          <w:sz w:val="22"/>
          <w:szCs w:val="22"/>
        </w:rPr>
        <w:t xml:space="preserve">the </w:t>
      </w:r>
      <w:r w:rsidRPr="009F195A">
        <w:rPr>
          <w:sz w:val="22"/>
          <w:szCs w:val="22"/>
        </w:rPr>
        <w:t>5</w:t>
      </w:r>
      <w:r w:rsidRPr="009F195A">
        <w:rPr>
          <w:sz w:val="22"/>
          <w:szCs w:val="22"/>
          <w:vertAlign w:val="superscript"/>
        </w:rPr>
        <w:t>th</w:t>
      </w:r>
      <w:r w:rsidRPr="009F195A">
        <w:rPr>
          <w:sz w:val="22"/>
          <w:szCs w:val="22"/>
        </w:rPr>
        <w:t xml:space="preserve"> and 95</w:t>
      </w:r>
      <w:r w:rsidRPr="009F195A">
        <w:rPr>
          <w:sz w:val="22"/>
          <w:szCs w:val="22"/>
          <w:vertAlign w:val="superscript"/>
        </w:rPr>
        <w:t>th</w:t>
      </w:r>
      <w:r w:rsidRPr="009F195A">
        <w:rPr>
          <w:sz w:val="22"/>
          <w:szCs w:val="22"/>
        </w:rPr>
        <w:t xml:space="preserve"> percentiles</w:t>
      </w:r>
      <w:r>
        <w:rPr>
          <w:sz w:val="22"/>
          <w:szCs w:val="22"/>
        </w:rPr>
        <w:t xml:space="preserve"> is less than 2.3dB.</w:t>
      </w:r>
    </w:p>
    <w:p w:rsidR="001B7EA1" w:rsidRDefault="001B7EA1" w:rsidP="00B87477">
      <w:pPr>
        <w:ind w:right="709"/>
        <w:jc w:val="both"/>
        <w:rPr>
          <w:sz w:val="22"/>
          <w:szCs w:val="22"/>
        </w:rPr>
      </w:pPr>
      <w:r>
        <w:rPr>
          <w:sz w:val="22"/>
          <w:szCs w:val="22"/>
        </w:rPr>
        <w:t xml:space="preserve">The simulation results are applicable to the scenario when the UE is using GNSS as synchronization source. For other synchronization options there may be additional frequency offset components, e.g. shifting the spectrum for EVA1350 </w:t>
      </w:r>
      <w:r w:rsidR="00FD7169">
        <w:rPr>
          <w:sz w:val="22"/>
          <w:szCs w:val="22"/>
        </w:rPr>
        <w:t>up or down in frequency.</w:t>
      </w:r>
    </w:p>
    <w:p w:rsidR="00FD7169" w:rsidRDefault="00FD7169" w:rsidP="00FD7169">
      <w:pPr>
        <w:ind w:right="709"/>
        <w:jc w:val="both"/>
        <w:rPr>
          <w:sz w:val="22"/>
          <w:szCs w:val="22"/>
        </w:rPr>
      </w:pPr>
      <w:r>
        <w:rPr>
          <w:sz w:val="22"/>
          <w:szCs w:val="22"/>
        </w:rPr>
        <w:t>We made the following observations:</w:t>
      </w:r>
    </w:p>
    <w:p w:rsidR="00FD7169" w:rsidRPr="002D469F" w:rsidRDefault="00FD7169" w:rsidP="00FD7169">
      <w:pPr>
        <w:rPr>
          <w:sz w:val="22"/>
          <w:szCs w:val="22"/>
          <w:lang w:val="en-US" w:eastAsia="ja-JP"/>
        </w:rPr>
      </w:pPr>
      <w:r w:rsidRPr="002D469F">
        <w:rPr>
          <w:b/>
          <w:sz w:val="22"/>
          <w:szCs w:val="22"/>
          <w:lang w:val="en-US" w:eastAsia="ja-JP"/>
        </w:rPr>
        <w:t>Observation 1:</w:t>
      </w:r>
      <w:r>
        <w:rPr>
          <w:b/>
          <w:sz w:val="22"/>
          <w:szCs w:val="22"/>
          <w:lang w:val="en-US" w:eastAsia="ja-JP"/>
        </w:rPr>
        <w:t xml:space="preserve"> </w:t>
      </w:r>
      <w:r>
        <w:rPr>
          <w:sz w:val="22"/>
          <w:szCs w:val="22"/>
          <w:lang w:val="en-US" w:eastAsia="ja-JP"/>
        </w:rPr>
        <w:t>A symbol-based RSRP estimator is robust to CFOs in the range foreseen for V2X operation.</w:t>
      </w:r>
    </w:p>
    <w:p w:rsidR="00FD7169" w:rsidRDefault="00FD7169" w:rsidP="00FD7169">
      <w:pPr>
        <w:ind w:right="709"/>
        <w:jc w:val="both"/>
        <w:rPr>
          <w:sz w:val="22"/>
          <w:szCs w:val="22"/>
          <w:lang w:val="en-US" w:eastAsia="ja-JP"/>
        </w:rPr>
      </w:pPr>
      <w:r>
        <w:rPr>
          <w:b/>
          <w:sz w:val="22"/>
          <w:szCs w:val="22"/>
          <w:lang w:val="en-US" w:eastAsia="ja-JP"/>
        </w:rPr>
        <w:t>Observation 2:</w:t>
      </w:r>
      <w:r>
        <w:rPr>
          <w:sz w:val="22"/>
          <w:szCs w:val="22"/>
          <w:lang w:val="en-US" w:eastAsia="ja-JP"/>
        </w:rPr>
        <w:t xml:space="preserve"> With GNSS-based synchronization the capture range of a legacy frequency offset estimator is sufficient. However, for PC5- and RAN-based synchronization the frequency offset may exceed the capture range of ±2.3 kHz.</w:t>
      </w:r>
    </w:p>
    <w:p w:rsidR="00866FE7" w:rsidRDefault="00FD7169" w:rsidP="00B87477">
      <w:pPr>
        <w:ind w:right="709"/>
        <w:jc w:val="both"/>
        <w:rPr>
          <w:sz w:val="22"/>
          <w:szCs w:val="22"/>
        </w:rPr>
      </w:pPr>
      <w:r>
        <w:rPr>
          <w:sz w:val="22"/>
          <w:szCs w:val="22"/>
        </w:rPr>
        <w:t>Since no guidance is given in the WID on the highest RAN carrier frequency to consider, we make the following proposal:</w:t>
      </w:r>
    </w:p>
    <w:p w:rsidR="00866FE7" w:rsidRDefault="00FD7169" w:rsidP="00B87477">
      <w:pPr>
        <w:ind w:right="709"/>
        <w:jc w:val="both"/>
        <w:rPr>
          <w:sz w:val="22"/>
          <w:szCs w:val="22"/>
          <w:lang w:val="en-US"/>
        </w:rPr>
      </w:pPr>
      <w:r w:rsidRPr="00B87477">
        <w:rPr>
          <w:b/>
          <w:sz w:val="22"/>
          <w:szCs w:val="22"/>
          <w:lang w:val="en-US"/>
        </w:rPr>
        <w:t>Proposal 1:</w:t>
      </w:r>
      <w:r>
        <w:rPr>
          <w:sz w:val="22"/>
          <w:szCs w:val="22"/>
          <w:lang w:val="en-US"/>
        </w:rPr>
        <w:t xml:space="preserve"> RAN4 shall agree on working assumptions on highest RAN carrier frequency to consider for V2X operation.</w:t>
      </w:r>
    </w:p>
    <w:p w:rsidR="001B7EA1" w:rsidRPr="00B87477" w:rsidRDefault="00FD7169" w:rsidP="00B87477">
      <w:pPr>
        <w:ind w:right="709"/>
        <w:jc w:val="both"/>
        <w:rPr>
          <w:sz w:val="22"/>
          <w:szCs w:val="22"/>
          <w:lang w:val="en-US"/>
        </w:rPr>
      </w:pPr>
      <w:r>
        <w:rPr>
          <w:sz w:val="22"/>
          <w:szCs w:val="22"/>
          <w:lang w:val="en-US"/>
        </w:rPr>
        <w:t xml:space="preserve">A related contribution on cell identification is provided in </w:t>
      </w:r>
      <w:r>
        <w:rPr>
          <w:sz w:val="22"/>
          <w:szCs w:val="22"/>
          <w:lang w:val="en-US"/>
        </w:rPr>
        <w:fldChar w:fldCharType="begin"/>
      </w:r>
      <w:r>
        <w:rPr>
          <w:sz w:val="22"/>
          <w:szCs w:val="22"/>
          <w:lang w:val="en-US"/>
        </w:rPr>
        <w:instrText xml:space="preserve"> REF _Ref462945784 \r \h </w:instrText>
      </w:r>
      <w:r>
        <w:rPr>
          <w:sz w:val="22"/>
          <w:szCs w:val="22"/>
          <w:lang w:val="en-US"/>
        </w:rPr>
      </w:r>
      <w:r>
        <w:rPr>
          <w:sz w:val="22"/>
          <w:szCs w:val="22"/>
          <w:lang w:val="en-US"/>
        </w:rPr>
        <w:fldChar w:fldCharType="separate"/>
      </w:r>
      <w:r>
        <w:rPr>
          <w:sz w:val="22"/>
          <w:szCs w:val="22"/>
          <w:lang w:val="en-US"/>
        </w:rPr>
        <w:t>[3]</w:t>
      </w:r>
      <w:r>
        <w:rPr>
          <w:sz w:val="22"/>
          <w:szCs w:val="22"/>
          <w:lang w:val="en-US"/>
        </w:rPr>
        <w:fldChar w:fldCharType="end"/>
      </w:r>
      <w:r>
        <w:rPr>
          <w:sz w:val="22"/>
          <w:szCs w:val="22"/>
          <w:lang w:val="en-US"/>
        </w:rPr>
        <w:t>.</w:t>
      </w:r>
    </w:p>
    <w:p w:rsidR="00BD2156" w:rsidRPr="00D51AB8" w:rsidRDefault="00D80957" w:rsidP="00D51AB8">
      <w:pPr>
        <w:pStyle w:val="Heading1"/>
        <w:pBdr>
          <w:top w:val="single" w:sz="12" w:space="2" w:color="auto"/>
        </w:pBdr>
        <w:ind w:right="993"/>
        <w:rPr>
          <w:sz w:val="32"/>
          <w:lang w:val="en-US"/>
        </w:rPr>
      </w:pPr>
      <w:r w:rsidRPr="00D51AB8">
        <w:rPr>
          <w:sz w:val="32"/>
          <w:lang w:val="en-US"/>
        </w:rPr>
        <w:t>References</w:t>
      </w:r>
      <w:bookmarkEnd w:id="0"/>
      <w:bookmarkEnd w:id="1"/>
    </w:p>
    <w:p w:rsidR="009620E5" w:rsidRPr="007723F8" w:rsidRDefault="009620E5">
      <w:pPr>
        <w:numPr>
          <w:ilvl w:val="0"/>
          <w:numId w:val="9"/>
        </w:numPr>
        <w:tabs>
          <w:tab w:val="left" w:pos="851"/>
        </w:tabs>
        <w:ind w:right="993"/>
        <w:rPr>
          <w:rFonts w:ascii="Arial" w:hAnsi="Arial" w:cs="Arial"/>
          <w:sz w:val="22"/>
          <w:szCs w:val="22"/>
          <w:lang w:val="en-US"/>
        </w:rPr>
      </w:pPr>
      <w:r>
        <w:rPr>
          <w:rFonts w:ascii="Arial" w:hAnsi="Arial" w:cs="Arial"/>
          <w:sz w:val="22"/>
          <w:szCs w:val="22"/>
          <w:lang w:val="en-US"/>
        </w:rPr>
        <w:t>RP-161894, “</w:t>
      </w:r>
      <w:r w:rsidRPr="009620E5">
        <w:rPr>
          <w:rFonts w:ascii="Arial" w:hAnsi="Arial" w:cs="Arial"/>
          <w:sz w:val="22"/>
          <w:szCs w:val="22"/>
          <w:lang w:val="en-US"/>
        </w:rPr>
        <w:t>Revised WI proposal: LTE-based V2X Services</w:t>
      </w:r>
      <w:r>
        <w:rPr>
          <w:rFonts w:ascii="Arial" w:hAnsi="Arial" w:cs="Arial"/>
          <w:sz w:val="22"/>
          <w:szCs w:val="22"/>
          <w:lang w:val="en-US"/>
        </w:rPr>
        <w:t>”,</w:t>
      </w:r>
      <w:r w:rsidRPr="009620E5">
        <w:rPr>
          <w:rFonts w:ascii="Arial" w:hAnsi="Arial" w:cs="Arial"/>
          <w:sz w:val="22"/>
          <w:szCs w:val="22"/>
          <w:lang w:val="en-US"/>
        </w:rPr>
        <w:t xml:space="preserve"> </w:t>
      </w:r>
      <w:r w:rsidRPr="00D51AB8">
        <w:rPr>
          <w:rFonts w:ascii="Arial" w:hAnsi="Arial" w:cs="Arial"/>
          <w:sz w:val="22"/>
          <w:szCs w:val="22"/>
          <w:lang w:val="en-US"/>
        </w:rPr>
        <w:t>LG Electronic</w:t>
      </w:r>
      <w:r>
        <w:rPr>
          <w:rFonts w:ascii="Arial" w:hAnsi="Arial" w:cs="Arial"/>
          <w:sz w:val="22"/>
          <w:szCs w:val="22"/>
          <w:lang w:val="en-US"/>
        </w:rPr>
        <w:t>s, Huawei, CATT</w:t>
      </w:r>
    </w:p>
    <w:p w:rsidR="00FD7169" w:rsidRPr="00B87477" w:rsidRDefault="00432CCB" w:rsidP="00B87477">
      <w:pPr>
        <w:numPr>
          <w:ilvl w:val="0"/>
          <w:numId w:val="9"/>
        </w:numPr>
        <w:tabs>
          <w:tab w:val="left" w:pos="851"/>
        </w:tabs>
        <w:rPr>
          <w:rFonts w:ascii="Arial" w:hAnsi="Arial" w:cs="Arial"/>
          <w:sz w:val="22"/>
          <w:szCs w:val="22"/>
          <w:lang w:val="en-US"/>
        </w:rPr>
      </w:pPr>
      <w:bookmarkStart w:id="12" w:name="_Ref458756580"/>
      <w:r w:rsidRPr="00706DDE">
        <w:rPr>
          <w:rFonts w:ascii="Arial" w:hAnsi="Arial" w:cs="Arial"/>
          <w:sz w:val="22"/>
          <w:szCs w:val="22"/>
          <w:lang w:val="en-US"/>
        </w:rPr>
        <w:t>R4-</w:t>
      </w:r>
      <w:r>
        <w:rPr>
          <w:rFonts w:ascii="Arial" w:hAnsi="Arial" w:cs="Arial"/>
          <w:sz w:val="22"/>
          <w:szCs w:val="22"/>
          <w:lang w:val="en-US"/>
        </w:rPr>
        <w:t>164844, “</w:t>
      </w:r>
      <w:r w:rsidRPr="00706DDE">
        <w:rPr>
          <w:rFonts w:ascii="Arial" w:hAnsi="Arial" w:cs="Arial"/>
          <w:sz w:val="22"/>
          <w:szCs w:val="22"/>
          <w:lang w:val="en-US"/>
        </w:rPr>
        <w:t>Simulation assumptions for synchronization requirements</w:t>
      </w:r>
      <w:r>
        <w:rPr>
          <w:rFonts w:ascii="Arial" w:hAnsi="Arial" w:cs="Arial"/>
          <w:sz w:val="22"/>
          <w:szCs w:val="22"/>
          <w:lang w:val="en-US"/>
        </w:rPr>
        <w:t>”, LG Electronics</w:t>
      </w:r>
      <w:bookmarkEnd w:id="12"/>
    </w:p>
    <w:p w:rsidR="00432CCB" w:rsidRPr="00432CCB" w:rsidRDefault="00432CCB" w:rsidP="00FD7169">
      <w:pPr>
        <w:numPr>
          <w:ilvl w:val="0"/>
          <w:numId w:val="9"/>
        </w:numPr>
        <w:tabs>
          <w:tab w:val="left" w:pos="851"/>
        </w:tabs>
        <w:rPr>
          <w:rFonts w:ascii="Arial" w:hAnsi="Arial" w:cs="Arial"/>
          <w:sz w:val="22"/>
          <w:szCs w:val="22"/>
          <w:lang w:val="en-US"/>
        </w:rPr>
      </w:pPr>
      <w:bookmarkStart w:id="13" w:name="_Ref458758321"/>
      <w:bookmarkStart w:id="14" w:name="_Ref462945784"/>
      <w:r w:rsidRPr="0049300C">
        <w:rPr>
          <w:rFonts w:ascii="Arial" w:hAnsi="Arial" w:cs="Arial"/>
          <w:sz w:val="22"/>
          <w:szCs w:val="22"/>
          <w:lang w:val="en-US"/>
        </w:rPr>
        <w:t>R4-16</w:t>
      </w:r>
      <w:bookmarkEnd w:id="13"/>
      <w:r w:rsidR="00093683">
        <w:rPr>
          <w:rFonts w:ascii="Arial" w:hAnsi="Arial" w:cs="Arial"/>
          <w:sz w:val="22"/>
          <w:szCs w:val="22"/>
          <w:lang w:val="en-US"/>
        </w:rPr>
        <w:t>8514</w:t>
      </w:r>
      <w:bookmarkStart w:id="15" w:name="_GoBack"/>
      <w:bookmarkEnd w:id="15"/>
      <w:r w:rsidR="00FD7169">
        <w:rPr>
          <w:rFonts w:ascii="Arial" w:hAnsi="Arial" w:cs="Arial"/>
          <w:sz w:val="22"/>
          <w:szCs w:val="22"/>
          <w:lang w:val="en-US"/>
        </w:rPr>
        <w:t>, “</w:t>
      </w:r>
      <w:r w:rsidR="00093683">
        <w:rPr>
          <w:rFonts w:ascii="Arial" w:hAnsi="Arial" w:cs="Arial"/>
          <w:sz w:val="22"/>
          <w:szCs w:val="22"/>
          <w:lang w:val="en-US"/>
        </w:rPr>
        <w:t xml:space="preserve">Cell Identification </w:t>
      </w:r>
      <w:r w:rsidR="00FD7169" w:rsidRPr="00FD7169">
        <w:rPr>
          <w:rFonts w:ascii="Arial" w:hAnsi="Arial" w:cs="Arial"/>
          <w:sz w:val="22"/>
          <w:szCs w:val="22"/>
          <w:lang w:val="en-US"/>
        </w:rPr>
        <w:t>in GNSS Synchronization Scenario</w:t>
      </w:r>
      <w:r w:rsidR="00FD7169">
        <w:rPr>
          <w:rFonts w:ascii="Arial" w:hAnsi="Arial" w:cs="Arial"/>
          <w:sz w:val="22"/>
          <w:szCs w:val="22"/>
          <w:lang w:val="en-US"/>
        </w:rPr>
        <w:t>”, Ericsson</w:t>
      </w:r>
      <w:bookmarkEnd w:id="14"/>
    </w:p>
    <w:sectPr w:rsidR="00432CCB" w:rsidRPr="00432CCB" w:rsidSect="00D51AB8">
      <w:footerReference w:type="even" r:id="rId20"/>
      <w:footerReference w:type="default" r:id="rId21"/>
      <w:footnotePr>
        <w:numRestart w:val="eachSect"/>
      </w:footnotePr>
      <w:pgSz w:w="11907" w:h="16840" w:code="9"/>
      <w:pgMar w:top="1418" w:right="141"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1C2" w:rsidRDefault="00E761C2">
      <w:r>
        <w:separator/>
      </w:r>
    </w:p>
  </w:endnote>
  <w:endnote w:type="continuationSeparator" w:id="0">
    <w:p w:rsidR="00E761C2" w:rsidRDefault="00E76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3C6" w:rsidRDefault="00E543C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543C6" w:rsidRDefault="00E543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43C6" w:rsidRDefault="00E543C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93683">
      <w:rPr>
        <w:rStyle w:val="PageNumber"/>
        <w:noProof/>
      </w:rPr>
      <w:t>8</w:t>
    </w:r>
    <w:r>
      <w:rPr>
        <w:rStyle w:val="PageNumber"/>
      </w:rPr>
      <w:fldChar w:fldCharType="end"/>
    </w:r>
  </w:p>
  <w:p w:rsidR="00E543C6" w:rsidRDefault="00E543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1C2" w:rsidRDefault="00E761C2">
      <w:r>
        <w:separator/>
      </w:r>
    </w:p>
  </w:footnote>
  <w:footnote w:type="continuationSeparator" w:id="0">
    <w:p w:rsidR="00E761C2" w:rsidRDefault="00E76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59677B"/>
    <w:multiLevelType w:val="hybridMultilevel"/>
    <w:tmpl w:val="3320A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386448"/>
    <w:multiLevelType w:val="hybridMultilevel"/>
    <w:tmpl w:val="E7E6F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4FD61C92"/>
    <w:multiLevelType w:val="hybridMultilevel"/>
    <w:tmpl w:val="6FAEC4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7B9F5CD7"/>
    <w:multiLevelType w:val="hybridMultilevel"/>
    <w:tmpl w:val="87F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9"/>
  </w:num>
  <w:num w:numId="4">
    <w:abstractNumId w:val="4"/>
  </w:num>
  <w:num w:numId="5">
    <w:abstractNumId w:val="5"/>
  </w:num>
  <w:num w:numId="6">
    <w:abstractNumId w:val="1"/>
  </w:num>
  <w:num w:numId="7">
    <w:abstractNumId w:val="0"/>
  </w:num>
  <w:num w:numId="8">
    <w:abstractNumId w:val="12"/>
  </w:num>
  <w:num w:numId="9">
    <w:abstractNumId w:val="7"/>
  </w:num>
  <w:num w:numId="10">
    <w:abstractNumId w:val="10"/>
  </w:num>
  <w:num w:numId="11">
    <w:abstractNumId w:val="2"/>
  </w:num>
  <w:num w:numId="12">
    <w:abstractNumId w:val="3"/>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3F5C"/>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E83"/>
    <w:rsid w:val="00017F08"/>
    <w:rsid w:val="00021FA1"/>
    <w:rsid w:val="00022E4A"/>
    <w:rsid w:val="00023187"/>
    <w:rsid w:val="00023523"/>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B0D"/>
    <w:rsid w:val="00034BF4"/>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2E7E"/>
    <w:rsid w:val="0004425A"/>
    <w:rsid w:val="0004501B"/>
    <w:rsid w:val="000451B2"/>
    <w:rsid w:val="00046883"/>
    <w:rsid w:val="00047819"/>
    <w:rsid w:val="00047B7C"/>
    <w:rsid w:val="00051BC5"/>
    <w:rsid w:val="00052455"/>
    <w:rsid w:val="00052B1B"/>
    <w:rsid w:val="00052F10"/>
    <w:rsid w:val="00054511"/>
    <w:rsid w:val="000546F8"/>
    <w:rsid w:val="00054A21"/>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3683"/>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5BB"/>
    <w:rsid w:val="000B48AA"/>
    <w:rsid w:val="000B4E07"/>
    <w:rsid w:val="000B4FDD"/>
    <w:rsid w:val="000B53EE"/>
    <w:rsid w:val="000B595E"/>
    <w:rsid w:val="000B6513"/>
    <w:rsid w:val="000B72F1"/>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1814"/>
    <w:rsid w:val="000D2312"/>
    <w:rsid w:val="000D234A"/>
    <w:rsid w:val="000D261D"/>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3C1A"/>
    <w:rsid w:val="00143C89"/>
    <w:rsid w:val="001440C6"/>
    <w:rsid w:val="00144482"/>
    <w:rsid w:val="0014529C"/>
    <w:rsid w:val="001454A2"/>
    <w:rsid w:val="00145DAA"/>
    <w:rsid w:val="00147408"/>
    <w:rsid w:val="001474B1"/>
    <w:rsid w:val="00147AD3"/>
    <w:rsid w:val="00150205"/>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29D"/>
    <w:rsid w:val="001A1CB8"/>
    <w:rsid w:val="001A21FD"/>
    <w:rsid w:val="001A4E3B"/>
    <w:rsid w:val="001A5354"/>
    <w:rsid w:val="001A5611"/>
    <w:rsid w:val="001A5B2F"/>
    <w:rsid w:val="001A60DB"/>
    <w:rsid w:val="001A6114"/>
    <w:rsid w:val="001A6432"/>
    <w:rsid w:val="001A6904"/>
    <w:rsid w:val="001A6BB7"/>
    <w:rsid w:val="001A7000"/>
    <w:rsid w:val="001A7B7F"/>
    <w:rsid w:val="001B00ED"/>
    <w:rsid w:val="001B0BBF"/>
    <w:rsid w:val="001B27AA"/>
    <w:rsid w:val="001B2876"/>
    <w:rsid w:val="001B33A8"/>
    <w:rsid w:val="001B3F05"/>
    <w:rsid w:val="001B4E1C"/>
    <w:rsid w:val="001B51E2"/>
    <w:rsid w:val="001B6559"/>
    <w:rsid w:val="001B7EA1"/>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0A43"/>
    <w:rsid w:val="001F1044"/>
    <w:rsid w:val="001F15CE"/>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E3C"/>
    <w:rsid w:val="002114C1"/>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CAA"/>
    <w:rsid w:val="00232B00"/>
    <w:rsid w:val="002331A7"/>
    <w:rsid w:val="00233D8D"/>
    <w:rsid w:val="00234898"/>
    <w:rsid w:val="00234CF8"/>
    <w:rsid w:val="00235165"/>
    <w:rsid w:val="002356BB"/>
    <w:rsid w:val="00235F3E"/>
    <w:rsid w:val="00236927"/>
    <w:rsid w:val="00236FB3"/>
    <w:rsid w:val="00237E80"/>
    <w:rsid w:val="00240F42"/>
    <w:rsid w:val="00242057"/>
    <w:rsid w:val="00242324"/>
    <w:rsid w:val="0024251D"/>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0B88"/>
    <w:rsid w:val="00261ADE"/>
    <w:rsid w:val="00261D75"/>
    <w:rsid w:val="00261E8E"/>
    <w:rsid w:val="0026276B"/>
    <w:rsid w:val="002627B5"/>
    <w:rsid w:val="002627FF"/>
    <w:rsid w:val="00262D2C"/>
    <w:rsid w:val="00262E4F"/>
    <w:rsid w:val="002634D1"/>
    <w:rsid w:val="0026526C"/>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5759"/>
    <w:rsid w:val="00295FF1"/>
    <w:rsid w:val="0029690D"/>
    <w:rsid w:val="00296DA4"/>
    <w:rsid w:val="00296F22"/>
    <w:rsid w:val="0029787B"/>
    <w:rsid w:val="002979F1"/>
    <w:rsid w:val="00297E7C"/>
    <w:rsid w:val="002A1565"/>
    <w:rsid w:val="002A16AB"/>
    <w:rsid w:val="002A1BA9"/>
    <w:rsid w:val="002A1EBD"/>
    <w:rsid w:val="002A226A"/>
    <w:rsid w:val="002A2ED4"/>
    <w:rsid w:val="002A33E4"/>
    <w:rsid w:val="002A34C4"/>
    <w:rsid w:val="002A38E2"/>
    <w:rsid w:val="002A3AEF"/>
    <w:rsid w:val="002A3BF2"/>
    <w:rsid w:val="002A4407"/>
    <w:rsid w:val="002A4455"/>
    <w:rsid w:val="002A4A87"/>
    <w:rsid w:val="002A5546"/>
    <w:rsid w:val="002A5567"/>
    <w:rsid w:val="002A5593"/>
    <w:rsid w:val="002A5CDB"/>
    <w:rsid w:val="002A66CF"/>
    <w:rsid w:val="002A749F"/>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022D"/>
    <w:rsid w:val="002C107A"/>
    <w:rsid w:val="002C129C"/>
    <w:rsid w:val="002C1DA6"/>
    <w:rsid w:val="002C22F9"/>
    <w:rsid w:val="002C362C"/>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69F"/>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A77"/>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54A3"/>
    <w:rsid w:val="00385FA4"/>
    <w:rsid w:val="003862A7"/>
    <w:rsid w:val="00386372"/>
    <w:rsid w:val="00387318"/>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1ED"/>
    <w:rsid w:val="003B1001"/>
    <w:rsid w:val="003B1900"/>
    <w:rsid w:val="003B19C6"/>
    <w:rsid w:val="003B1F82"/>
    <w:rsid w:val="003B2678"/>
    <w:rsid w:val="003B328F"/>
    <w:rsid w:val="003B32E4"/>
    <w:rsid w:val="003B3334"/>
    <w:rsid w:val="003B34D7"/>
    <w:rsid w:val="003B49F2"/>
    <w:rsid w:val="003B66D2"/>
    <w:rsid w:val="003B693D"/>
    <w:rsid w:val="003B6F28"/>
    <w:rsid w:val="003B77B7"/>
    <w:rsid w:val="003B7BA6"/>
    <w:rsid w:val="003C329E"/>
    <w:rsid w:val="003C32F9"/>
    <w:rsid w:val="003C3D9F"/>
    <w:rsid w:val="003C43E9"/>
    <w:rsid w:val="003C5321"/>
    <w:rsid w:val="003C5FED"/>
    <w:rsid w:val="003C662E"/>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5CBA"/>
    <w:rsid w:val="003E670F"/>
    <w:rsid w:val="003E6AED"/>
    <w:rsid w:val="003E6BCE"/>
    <w:rsid w:val="003E7B41"/>
    <w:rsid w:val="003F0498"/>
    <w:rsid w:val="003F0A59"/>
    <w:rsid w:val="003F20F8"/>
    <w:rsid w:val="003F45B5"/>
    <w:rsid w:val="003F4F9B"/>
    <w:rsid w:val="003F5686"/>
    <w:rsid w:val="003F67F4"/>
    <w:rsid w:val="003F7861"/>
    <w:rsid w:val="003F7B15"/>
    <w:rsid w:val="00400196"/>
    <w:rsid w:val="004012EA"/>
    <w:rsid w:val="004027F4"/>
    <w:rsid w:val="004037F7"/>
    <w:rsid w:val="00403F5A"/>
    <w:rsid w:val="004047C0"/>
    <w:rsid w:val="00404B01"/>
    <w:rsid w:val="00404C7A"/>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2CCB"/>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5A"/>
    <w:rsid w:val="004510C2"/>
    <w:rsid w:val="0045141B"/>
    <w:rsid w:val="00451484"/>
    <w:rsid w:val="00451C84"/>
    <w:rsid w:val="00453664"/>
    <w:rsid w:val="00453B6C"/>
    <w:rsid w:val="004548A4"/>
    <w:rsid w:val="00454A50"/>
    <w:rsid w:val="00455031"/>
    <w:rsid w:val="00455652"/>
    <w:rsid w:val="004558A0"/>
    <w:rsid w:val="004562C0"/>
    <w:rsid w:val="00456696"/>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1A7"/>
    <w:rsid w:val="00483AC8"/>
    <w:rsid w:val="00483B93"/>
    <w:rsid w:val="00484624"/>
    <w:rsid w:val="00484956"/>
    <w:rsid w:val="0048508B"/>
    <w:rsid w:val="00486907"/>
    <w:rsid w:val="00486C41"/>
    <w:rsid w:val="00486F1C"/>
    <w:rsid w:val="0048750D"/>
    <w:rsid w:val="00487591"/>
    <w:rsid w:val="004878F1"/>
    <w:rsid w:val="00487948"/>
    <w:rsid w:val="00487BA4"/>
    <w:rsid w:val="00490FAD"/>
    <w:rsid w:val="004922AE"/>
    <w:rsid w:val="00492F51"/>
    <w:rsid w:val="004941C5"/>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2B63"/>
    <w:rsid w:val="004C3452"/>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5E04"/>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35C"/>
    <w:rsid w:val="00581C5A"/>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978DE"/>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0BAA"/>
    <w:rsid w:val="005F16B1"/>
    <w:rsid w:val="005F1BF9"/>
    <w:rsid w:val="005F2112"/>
    <w:rsid w:val="005F21DB"/>
    <w:rsid w:val="005F22FB"/>
    <w:rsid w:val="005F2915"/>
    <w:rsid w:val="005F3A58"/>
    <w:rsid w:val="005F3CBD"/>
    <w:rsid w:val="005F4A4C"/>
    <w:rsid w:val="005F6496"/>
    <w:rsid w:val="005F67A0"/>
    <w:rsid w:val="00600701"/>
    <w:rsid w:val="00601706"/>
    <w:rsid w:val="00601F4A"/>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2F6D"/>
    <w:rsid w:val="006135F7"/>
    <w:rsid w:val="006137DE"/>
    <w:rsid w:val="00613D1C"/>
    <w:rsid w:val="0061413E"/>
    <w:rsid w:val="00615B41"/>
    <w:rsid w:val="006160C9"/>
    <w:rsid w:val="006169A0"/>
    <w:rsid w:val="00617AAC"/>
    <w:rsid w:val="006201C2"/>
    <w:rsid w:val="00620E2F"/>
    <w:rsid w:val="00620E47"/>
    <w:rsid w:val="0062162D"/>
    <w:rsid w:val="0062215E"/>
    <w:rsid w:val="00622210"/>
    <w:rsid w:val="00622D02"/>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5C0"/>
    <w:rsid w:val="00666B12"/>
    <w:rsid w:val="00666D88"/>
    <w:rsid w:val="006674D4"/>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1021"/>
    <w:rsid w:val="006C10DC"/>
    <w:rsid w:val="006C15BB"/>
    <w:rsid w:val="006C1A4B"/>
    <w:rsid w:val="006C1F79"/>
    <w:rsid w:val="006C25D3"/>
    <w:rsid w:val="006C3038"/>
    <w:rsid w:val="006C36D0"/>
    <w:rsid w:val="006C384C"/>
    <w:rsid w:val="006C4091"/>
    <w:rsid w:val="006C4211"/>
    <w:rsid w:val="006C4680"/>
    <w:rsid w:val="006C48C8"/>
    <w:rsid w:val="006C4EC1"/>
    <w:rsid w:val="006C588E"/>
    <w:rsid w:val="006C63A6"/>
    <w:rsid w:val="006C6622"/>
    <w:rsid w:val="006C6ABD"/>
    <w:rsid w:val="006C7B68"/>
    <w:rsid w:val="006D00B2"/>
    <w:rsid w:val="006D12E6"/>
    <w:rsid w:val="006D2BA5"/>
    <w:rsid w:val="006D2D1E"/>
    <w:rsid w:val="006D3226"/>
    <w:rsid w:val="006D3585"/>
    <w:rsid w:val="006D384A"/>
    <w:rsid w:val="006D3A89"/>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B63"/>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42BC"/>
    <w:rsid w:val="00724AEC"/>
    <w:rsid w:val="00724F6E"/>
    <w:rsid w:val="00725208"/>
    <w:rsid w:val="007253B0"/>
    <w:rsid w:val="007253DA"/>
    <w:rsid w:val="00726052"/>
    <w:rsid w:val="0072677B"/>
    <w:rsid w:val="007267EC"/>
    <w:rsid w:val="00726B1A"/>
    <w:rsid w:val="00726F9B"/>
    <w:rsid w:val="007306B1"/>
    <w:rsid w:val="0073071E"/>
    <w:rsid w:val="00730B5B"/>
    <w:rsid w:val="00730FBC"/>
    <w:rsid w:val="0073300B"/>
    <w:rsid w:val="00733351"/>
    <w:rsid w:val="00735BB4"/>
    <w:rsid w:val="007363CF"/>
    <w:rsid w:val="0073664D"/>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67F75"/>
    <w:rsid w:val="00770162"/>
    <w:rsid w:val="00770A9D"/>
    <w:rsid w:val="00770EA5"/>
    <w:rsid w:val="00771299"/>
    <w:rsid w:val="00771341"/>
    <w:rsid w:val="00771535"/>
    <w:rsid w:val="00771722"/>
    <w:rsid w:val="007723F8"/>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18"/>
    <w:rsid w:val="007A38F0"/>
    <w:rsid w:val="007A3E39"/>
    <w:rsid w:val="007A47CB"/>
    <w:rsid w:val="007A542F"/>
    <w:rsid w:val="007A7DA5"/>
    <w:rsid w:val="007B0002"/>
    <w:rsid w:val="007B01DE"/>
    <w:rsid w:val="007B0503"/>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7271"/>
    <w:rsid w:val="007C7935"/>
    <w:rsid w:val="007C7EF5"/>
    <w:rsid w:val="007C7FEF"/>
    <w:rsid w:val="007D05CD"/>
    <w:rsid w:val="007D0813"/>
    <w:rsid w:val="007D0B40"/>
    <w:rsid w:val="007D0B5D"/>
    <w:rsid w:val="007D0CE2"/>
    <w:rsid w:val="007D18D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134"/>
    <w:rsid w:val="0081684B"/>
    <w:rsid w:val="00816BC0"/>
    <w:rsid w:val="00816CC0"/>
    <w:rsid w:val="00817195"/>
    <w:rsid w:val="00817B5F"/>
    <w:rsid w:val="008211E0"/>
    <w:rsid w:val="00821510"/>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49BC"/>
    <w:rsid w:val="00845591"/>
    <w:rsid w:val="00845AEA"/>
    <w:rsid w:val="00846D9E"/>
    <w:rsid w:val="00846F38"/>
    <w:rsid w:val="00850454"/>
    <w:rsid w:val="008505F7"/>
    <w:rsid w:val="00850772"/>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45DE"/>
    <w:rsid w:val="00864C20"/>
    <w:rsid w:val="00865F2C"/>
    <w:rsid w:val="008661EB"/>
    <w:rsid w:val="00866621"/>
    <w:rsid w:val="00866954"/>
    <w:rsid w:val="00866CF5"/>
    <w:rsid w:val="00866E4F"/>
    <w:rsid w:val="00866E62"/>
    <w:rsid w:val="00866F79"/>
    <w:rsid w:val="00866FE7"/>
    <w:rsid w:val="0086779A"/>
    <w:rsid w:val="00867ACE"/>
    <w:rsid w:val="00867F70"/>
    <w:rsid w:val="0087275D"/>
    <w:rsid w:val="008728C7"/>
    <w:rsid w:val="00872D3C"/>
    <w:rsid w:val="00873ACE"/>
    <w:rsid w:val="00874077"/>
    <w:rsid w:val="00874855"/>
    <w:rsid w:val="00875EEC"/>
    <w:rsid w:val="00876111"/>
    <w:rsid w:val="00876B5C"/>
    <w:rsid w:val="00876D10"/>
    <w:rsid w:val="008771D9"/>
    <w:rsid w:val="00880485"/>
    <w:rsid w:val="00880A0A"/>
    <w:rsid w:val="00880EB5"/>
    <w:rsid w:val="008814D3"/>
    <w:rsid w:val="008823BF"/>
    <w:rsid w:val="0088279C"/>
    <w:rsid w:val="00882813"/>
    <w:rsid w:val="008838E9"/>
    <w:rsid w:val="0088445C"/>
    <w:rsid w:val="0088498A"/>
    <w:rsid w:val="008852FB"/>
    <w:rsid w:val="0088544B"/>
    <w:rsid w:val="00885654"/>
    <w:rsid w:val="00885672"/>
    <w:rsid w:val="00885BA6"/>
    <w:rsid w:val="00886260"/>
    <w:rsid w:val="00890CE1"/>
    <w:rsid w:val="00890D5F"/>
    <w:rsid w:val="008913B5"/>
    <w:rsid w:val="00891490"/>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21F"/>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3309"/>
    <w:rsid w:val="008D40E6"/>
    <w:rsid w:val="008D41DC"/>
    <w:rsid w:val="008D4224"/>
    <w:rsid w:val="008D47D9"/>
    <w:rsid w:val="008D4C6E"/>
    <w:rsid w:val="008D54A8"/>
    <w:rsid w:val="008D55B2"/>
    <w:rsid w:val="008D66BA"/>
    <w:rsid w:val="008D7FFB"/>
    <w:rsid w:val="008E00D2"/>
    <w:rsid w:val="008E0AB5"/>
    <w:rsid w:val="008E1A58"/>
    <w:rsid w:val="008E2EF9"/>
    <w:rsid w:val="008E3C0F"/>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15DCF"/>
    <w:rsid w:val="00920520"/>
    <w:rsid w:val="009205D3"/>
    <w:rsid w:val="00920642"/>
    <w:rsid w:val="00920ECD"/>
    <w:rsid w:val="009219AA"/>
    <w:rsid w:val="009220DF"/>
    <w:rsid w:val="009226D8"/>
    <w:rsid w:val="00923143"/>
    <w:rsid w:val="009234BB"/>
    <w:rsid w:val="0092398F"/>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0E5"/>
    <w:rsid w:val="0096266E"/>
    <w:rsid w:val="009629BB"/>
    <w:rsid w:val="00963062"/>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099"/>
    <w:rsid w:val="009828BE"/>
    <w:rsid w:val="00983334"/>
    <w:rsid w:val="0098538E"/>
    <w:rsid w:val="00985D81"/>
    <w:rsid w:val="0098647B"/>
    <w:rsid w:val="009875DC"/>
    <w:rsid w:val="009877A1"/>
    <w:rsid w:val="00987D1D"/>
    <w:rsid w:val="00990417"/>
    <w:rsid w:val="00990C04"/>
    <w:rsid w:val="00991775"/>
    <w:rsid w:val="009922A8"/>
    <w:rsid w:val="009923BD"/>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295"/>
    <w:rsid w:val="009A45DA"/>
    <w:rsid w:val="009A6082"/>
    <w:rsid w:val="009A715C"/>
    <w:rsid w:val="009A7A47"/>
    <w:rsid w:val="009A7D00"/>
    <w:rsid w:val="009A7E04"/>
    <w:rsid w:val="009B0494"/>
    <w:rsid w:val="009B262A"/>
    <w:rsid w:val="009B29D5"/>
    <w:rsid w:val="009B2AF7"/>
    <w:rsid w:val="009B2DF8"/>
    <w:rsid w:val="009B4359"/>
    <w:rsid w:val="009B4EA0"/>
    <w:rsid w:val="009B5DA8"/>
    <w:rsid w:val="009B7189"/>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66C"/>
    <w:rsid w:val="009C78FF"/>
    <w:rsid w:val="009D1EAC"/>
    <w:rsid w:val="009D2654"/>
    <w:rsid w:val="009D36FD"/>
    <w:rsid w:val="009D3A89"/>
    <w:rsid w:val="009D446C"/>
    <w:rsid w:val="009D4634"/>
    <w:rsid w:val="009D5485"/>
    <w:rsid w:val="009D6196"/>
    <w:rsid w:val="009D6532"/>
    <w:rsid w:val="009D7BDD"/>
    <w:rsid w:val="009D7BF1"/>
    <w:rsid w:val="009E1382"/>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1F6C"/>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3BF"/>
    <w:rsid w:val="00A21651"/>
    <w:rsid w:val="00A22046"/>
    <w:rsid w:val="00A2239F"/>
    <w:rsid w:val="00A228FC"/>
    <w:rsid w:val="00A233B9"/>
    <w:rsid w:val="00A23967"/>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3AD5"/>
    <w:rsid w:val="00A3542A"/>
    <w:rsid w:val="00A35C6F"/>
    <w:rsid w:val="00A3601F"/>
    <w:rsid w:val="00A37332"/>
    <w:rsid w:val="00A3769E"/>
    <w:rsid w:val="00A4029D"/>
    <w:rsid w:val="00A4039D"/>
    <w:rsid w:val="00A408C5"/>
    <w:rsid w:val="00A408CA"/>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1F97"/>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968"/>
    <w:rsid w:val="00AD5DE4"/>
    <w:rsid w:val="00AD6CE6"/>
    <w:rsid w:val="00AD743E"/>
    <w:rsid w:val="00AD7593"/>
    <w:rsid w:val="00AD77CB"/>
    <w:rsid w:val="00AD7AFE"/>
    <w:rsid w:val="00AE0A08"/>
    <w:rsid w:val="00AE0D11"/>
    <w:rsid w:val="00AE13B0"/>
    <w:rsid w:val="00AE1462"/>
    <w:rsid w:val="00AE16E8"/>
    <w:rsid w:val="00AE202D"/>
    <w:rsid w:val="00AE37CD"/>
    <w:rsid w:val="00AE3DAA"/>
    <w:rsid w:val="00AE52F8"/>
    <w:rsid w:val="00AE558B"/>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5786"/>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199"/>
    <w:rsid w:val="00B46AEC"/>
    <w:rsid w:val="00B46CCB"/>
    <w:rsid w:val="00B47C82"/>
    <w:rsid w:val="00B50FEF"/>
    <w:rsid w:val="00B52330"/>
    <w:rsid w:val="00B538D5"/>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BE1"/>
    <w:rsid w:val="00B75EA8"/>
    <w:rsid w:val="00B76F78"/>
    <w:rsid w:val="00B770AD"/>
    <w:rsid w:val="00B770CB"/>
    <w:rsid w:val="00B7731F"/>
    <w:rsid w:val="00B77B41"/>
    <w:rsid w:val="00B80D28"/>
    <w:rsid w:val="00B8120C"/>
    <w:rsid w:val="00B813D5"/>
    <w:rsid w:val="00B83FA3"/>
    <w:rsid w:val="00B848BC"/>
    <w:rsid w:val="00B85524"/>
    <w:rsid w:val="00B85626"/>
    <w:rsid w:val="00B87038"/>
    <w:rsid w:val="00B870D2"/>
    <w:rsid w:val="00B87477"/>
    <w:rsid w:val="00B902A3"/>
    <w:rsid w:val="00B9054B"/>
    <w:rsid w:val="00B905FA"/>
    <w:rsid w:val="00B91699"/>
    <w:rsid w:val="00B917E4"/>
    <w:rsid w:val="00B9208F"/>
    <w:rsid w:val="00B9254D"/>
    <w:rsid w:val="00B930FB"/>
    <w:rsid w:val="00B93523"/>
    <w:rsid w:val="00B940B4"/>
    <w:rsid w:val="00B9426B"/>
    <w:rsid w:val="00B94ABC"/>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F3B"/>
    <w:rsid w:val="00BB533D"/>
    <w:rsid w:val="00BB5DFC"/>
    <w:rsid w:val="00BB6726"/>
    <w:rsid w:val="00BB67BA"/>
    <w:rsid w:val="00BB6920"/>
    <w:rsid w:val="00BB750C"/>
    <w:rsid w:val="00BB760E"/>
    <w:rsid w:val="00BC0399"/>
    <w:rsid w:val="00BC0D0A"/>
    <w:rsid w:val="00BC0FD6"/>
    <w:rsid w:val="00BC1C78"/>
    <w:rsid w:val="00BC2177"/>
    <w:rsid w:val="00BC2FBA"/>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4185"/>
    <w:rsid w:val="00C3550A"/>
    <w:rsid w:val="00C35E2F"/>
    <w:rsid w:val="00C3620B"/>
    <w:rsid w:val="00C36DFD"/>
    <w:rsid w:val="00C3715F"/>
    <w:rsid w:val="00C37474"/>
    <w:rsid w:val="00C40107"/>
    <w:rsid w:val="00C40A7D"/>
    <w:rsid w:val="00C40B1C"/>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4C7E"/>
    <w:rsid w:val="00C55441"/>
    <w:rsid w:val="00C558C5"/>
    <w:rsid w:val="00C55C9C"/>
    <w:rsid w:val="00C560D1"/>
    <w:rsid w:val="00C5669B"/>
    <w:rsid w:val="00C57064"/>
    <w:rsid w:val="00C572E6"/>
    <w:rsid w:val="00C57C4E"/>
    <w:rsid w:val="00C57ED4"/>
    <w:rsid w:val="00C606EE"/>
    <w:rsid w:val="00C60ADE"/>
    <w:rsid w:val="00C612EB"/>
    <w:rsid w:val="00C61AE3"/>
    <w:rsid w:val="00C61B70"/>
    <w:rsid w:val="00C61EDC"/>
    <w:rsid w:val="00C62EEC"/>
    <w:rsid w:val="00C63DC4"/>
    <w:rsid w:val="00C64CCD"/>
    <w:rsid w:val="00C64EA5"/>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E06"/>
    <w:rsid w:val="00C97877"/>
    <w:rsid w:val="00C97CFF"/>
    <w:rsid w:val="00CA1229"/>
    <w:rsid w:val="00CA1472"/>
    <w:rsid w:val="00CA171A"/>
    <w:rsid w:val="00CA189E"/>
    <w:rsid w:val="00CA1BA8"/>
    <w:rsid w:val="00CA2347"/>
    <w:rsid w:val="00CA2543"/>
    <w:rsid w:val="00CA25C3"/>
    <w:rsid w:val="00CA2AE0"/>
    <w:rsid w:val="00CA398E"/>
    <w:rsid w:val="00CA42E3"/>
    <w:rsid w:val="00CA562B"/>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3A7"/>
    <w:rsid w:val="00CB7614"/>
    <w:rsid w:val="00CB7F4C"/>
    <w:rsid w:val="00CC0025"/>
    <w:rsid w:val="00CC0244"/>
    <w:rsid w:val="00CC026B"/>
    <w:rsid w:val="00CC0411"/>
    <w:rsid w:val="00CC0CC2"/>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53BE"/>
    <w:rsid w:val="00CF55E0"/>
    <w:rsid w:val="00CF5C9A"/>
    <w:rsid w:val="00CF6272"/>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5C1"/>
    <w:rsid w:val="00D20AA8"/>
    <w:rsid w:val="00D20ADB"/>
    <w:rsid w:val="00D20E48"/>
    <w:rsid w:val="00D21669"/>
    <w:rsid w:val="00D220B8"/>
    <w:rsid w:val="00D22E63"/>
    <w:rsid w:val="00D234D3"/>
    <w:rsid w:val="00D2397E"/>
    <w:rsid w:val="00D23DAF"/>
    <w:rsid w:val="00D248C5"/>
    <w:rsid w:val="00D25360"/>
    <w:rsid w:val="00D256DC"/>
    <w:rsid w:val="00D25BCE"/>
    <w:rsid w:val="00D27E7E"/>
    <w:rsid w:val="00D30BC4"/>
    <w:rsid w:val="00D31CD5"/>
    <w:rsid w:val="00D3243D"/>
    <w:rsid w:val="00D326FC"/>
    <w:rsid w:val="00D33180"/>
    <w:rsid w:val="00D34717"/>
    <w:rsid w:val="00D360E3"/>
    <w:rsid w:val="00D36628"/>
    <w:rsid w:val="00D3672E"/>
    <w:rsid w:val="00D3688D"/>
    <w:rsid w:val="00D36C40"/>
    <w:rsid w:val="00D37487"/>
    <w:rsid w:val="00D3768A"/>
    <w:rsid w:val="00D402B4"/>
    <w:rsid w:val="00D40B8E"/>
    <w:rsid w:val="00D41BE5"/>
    <w:rsid w:val="00D42188"/>
    <w:rsid w:val="00D424F2"/>
    <w:rsid w:val="00D42958"/>
    <w:rsid w:val="00D42BAC"/>
    <w:rsid w:val="00D44CE6"/>
    <w:rsid w:val="00D44ED3"/>
    <w:rsid w:val="00D46448"/>
    <w:rsid w:val="00D46559"/>
    <w:rsid w:val="00D4692B"/>
    <w:rsid w:val="00D4697D"/>
    <w:rsid w:val="00D4698B"/>
    <w:rsid w:val="00D46F4C"/>
    <w:rsid w:val="00D47FDB"/>
    <w:rsid w:val="00D509FA"/>
    <w:rsid w:val="00D51550"/>
    <w:rsid w:val="00D51AB8"/>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0F1F"/>
    <w:rsid w:val="00D6161F"/>
    <w:rsid w:val="00D61C10"/>
    <w:rsid w:val="00D62002"/>
    <w:rsid w:val="00D6206D"/>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21BC"/>
    <w:rsid w:val="00D833D5"/>
    <w:rsid w:val="00D83D6D"/>
    <w:rsid w:val="00D841AA"/>
    <w:rsid w:val="00D845BB"/>
    <w:rsid w:val="00D85123"/>
    <w:rsid w:val="00D85CB5"/>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D4"/>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51DE"/>
    <w:rsid w:val="00DC695D"/>
    <w:rsid w:val="00DC6C0E"/>
    <w:rsid w:val="00DC73C6"/>
    <w:rsid w:val="00DD02FE"/>
    <w:rsid w:val="00DD1010"/>
    <w:rsid w:val="00DD179D"/>
    <w:rsid w:val="00DD24D7"/>
    <w:rsid w:val="00DD3696"/>
    <w:rsid w:val="00DD3FC7"/>
    <w:rsid w:val="00DD447C"/>
    <w:rsid w:val="00DD4BE3"/>
    <w:rsid w:val="00DD543E"/>
    <w:rsid w:val="00DD55E2"/>
    <w:rsid w:val="00DD715B"/>
    <w:rsid w:val="00DD727F"/>
    <w:rsid w:val="00DD7715"/>
    <w:rsid w:val="00DD7BAD"/>
    <w:rsid w:val="00DE030E"/>
    <w:rsid w:val="00DE0AB4"/>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1248"/>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5E26"/>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D65"/>
    <w:rsid w:val="00E474EB"/>
    <w:rsid w:val="00E479A9"/>
    <w:rsid w:val="00E47FBE"/>
    <w:rsid w:val="00E5018C"/>
    <w:rsid w:val="00E51614"/>
    <w:rsid w:val="00E519F6"/>
    <w:rsid w:val="00E52424"/>
    <w:rsid w:val="00E532E1"/>
    <w:rsid w:val="00E53501"/>
    <w:rsid w:val="00E53616"/>
    <w:rsid w:val="00E543C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6FE"/>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1C2"/>
    <w:rsid w:val="00E76458"/>
    <w:rsid w:val="00E77432"/>
    <w:rsid w:val="00E77D0B"/>
    <w:rsid w:val="00E805F1"/>
    <w:rsid w:val="00E80737"/>
    <w:rsid w:val="00E807C0"/>
    <w:rsid w:val="00E80F83"/>
    <w:rsid w:val="00E82089"/>
    <w:rsid w:val="00E82D82"/>
    <w:rsid w:val="00E82E03"/>
    <w:rsid w:val="00E838CC"/>
    <w:rsid w:val="00E84B38"/>
    <w:rsid w:val="00E84E3D"/>
    <w:rsid w:val="00E8562D"/>
    <w:rsid w:val="00E867BC"/>
    <w:rsid w:val="00E86A07"/>
    <w:rsid w:val="00E90EB0"/>
    <w:rsid w:val="00E92DF8"/>
    <w:rsid w:val="00E93FDF"/>
    <w:rsid w:val="00E9450E"/>
    <w:rsid w:val="00E94598"/>
    <w:rsid w:val="00E961C6"/>
    <w:rsid w:val="00E962E6"/>
    <w:rsid w:val="00E9663C"/>
    <w:rsid w:val="00E96A28"/>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457C"/>
    <w:rsid w:val="00EE6924"/>
    <w:rsid w:val="00EE73EF"/>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036E"/>
    <w:rsid w:val="00F01393"/>
    <w:rsid w:val="00F01B5B"/>
    <w:rsid w:val="00F030F0"/>
    <w:rsid w:val="00F03131"/>
    <w:rsid w:val="00F03739"/>
    <w:rsid w:val="00F0398B"/>
    <w:rsid w:val="00F04568"/>
    <w:rsid w:val="00F057BB"/>
    <w:rsid w:val="00F05939"/>
    <w:rsid w:val="00F05E19"/>
    <w:rsid w:val="00F06BF4"/>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5DFC"/>
    <w:rsid w:val="00F469DC"/>
    <w:rsid w:val="00F474F9"/>
    <w:rsid w:val="00F47561"/>
    <w:rsid w:val="00F47785"/>
    <w:rsid w:val="00F47E44"/>
    <w:rsid w:val="00F504D0"/>
    <w:rsid w:val="00F50AAB"/>
    <w:rsid w:val="00F50F02"/>
    <w:rsid w:val="00F51BEC"/>
    <w:rsid w:val="00F51C0E"/>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66A"/>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09CA"/>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26B"/>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1A7"/>
    <w:rsid w:val="00FC4814"/>
    <w:rsid w:val="00FC4D53"/>
    <w:rsid w:val="00FC4F4B"/>
    <w:rsid w:val="00FC55A9"/>
    <w:rsid w:val="00FC55BA"/>
    <w:rsid w:val="00FC5D65"/>
    <w:rsid w:val="00FC6878"/>
    <w:rsid w:val="00FC790C"/>
    <w:rsid w:val="00FC7A2B"/>
    <w:rsid w:val="00FD10E6"/>
    <w:rsid w:val="00FD15BB"/>
    <w:rsid w:val="00FD205F"/>
    <w:rsid w:val="00FD21C9"/>
    <w:rsid w:val="00FD2763"/>
    <w:rsid w:val="00FD2CE7"/>
    <w:rsid w:val="00FD2D06"/>
    <w:rsid w:val="00FD32A7"/>
    <w:rsid w:val="00FD34FC"/>
    <w:rsid w:val="00FD35F2"/>
    <w:rsid w:val="00FD4387"/>
    <w:rsid w:val="00FD5244"/>
    <w:rsid w:val="00FD560C"/>
    <w:rsid w:val="00FD59B4"/>
    <w:rsid w:val="00FD6A36"/>
    <w:rsid w:val="00FD7169"/>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18D"/>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0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D3309"/>
    <w:pPr>
      <w:spacing w:after="0"/>
      <w:jc w:val="center"/>
    </w:pPr>
    <w:rPr>
      <w:b/>
      <w:sz w:val="22"/>
      <w:lang w:val="sv-SE" w:eastAsia="ja-JP"/>
    </w:rPr>
  </w:style>
  <w:style w:type="character" w:customStyle="1" w:styleId="CaptionChar">
    <w:name w:val="Caption Char"/>
    <w:link w:val="Caption"/>
    <w:uiPriority w:val="99"/>
    <w:locked/>
    <w:rsid w:val="008D3309"/>
    <w:rPr>
      <w:rFonts w:ascii="Times New Roman" w:hAnsi="Times New Roman"/>
      <w:b/>
      <w:sz w:val="22"/>
      <w:lang w:val="sv-SE"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8962324">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0501371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64F14-318B-4CBB-A2B0-194F8274D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2427</Words>
  <Characters>12869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2016-08-12T10:40:00Z</dcterms:created>
  <dcterms:modified xsi:type="dcterms:W3CDTF">2016-09-30T16:20:00Z</dcterms:modified>
</cp:coreProperties>
</file>